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7724" w14:textId="77777777" w:rsidR="0079792A" w:rsidRDefault="007A62E5">
      <w:pPr>
        <w:pStyle w:val="Heading1"/>
        <w:ind w:left="-5"/>
      </w:pPr>
      <w:r>
        <w:t>English Department On-line Learning Information</w:t>
      </w:r>
      <w:r>
        <w:rPr>
          <w:sz w:val="40"/>
          <w:u w:val="none"/>
        </w:rPr>
        <w:t xml:space="preserve"> </w:t>
      </w:r>
    </w:p>
    <w:p w14:paraId="51BC5C65" w14:textId="77777777" w:rsidR="0079792A" w:rsidRDefault="007A62E5">
      <w:pPr>
        <w:spacing w:after="0"/>
      </w:pPr>
      <w:r>
        <w:rPr>
          <w:b/>
        </w:rPr>
        <w:t xml:space="preserve"> </w:t>
      </w:r>
    </w:p>
    <w:p w14:paraId="423170FF" w14:textId="49CAF029" w:rsidR="0079792A" w:rsidRDefault="007A62E5">
      <w:pPr>
        <w:spacing w:after="5" w:line="249" w:lineRule="auto"/>
        <w:ind w:left="-5" w:hanging="10"/>
        <w:jc w:val="both"/>
      </w:pPr>
      <w:r>
        <w:rPr>
          <w:b/>
        </w:rPr>
        <w:t>Resources for all year groups can be accessed on Teams</w:t>
      </w:r>
      <w:r>
        <w:rPr>
          <w:b/>
        </w:rPr>
        <w:t xml:space="preserve">. There will be uniform tasks for KS3 and year 10.  Individual teachers have put revision and exam material on for their respective classes in years 11, 12 and 13. </w:t>
      </w:r>
    </w:p>
    <w:p w14:paraId="7DC8CC76" w14:textId="77777777" w:rsidR="0079792A" w:rsidRDefault="007A62E5">
      <w:pPr>
        <w:spacing w:after="5" w:line="249" w:lineRule="auto"/>
        <w:ind w:left="-5" w:hanging="10"/>
        <w:jc w:val="both"/>
      </w:pPr>
      <w:r>
        <w:rPr>
          <w:b/>
        </w:rPr>
        <w:t xml:space="preserve">There may be additional materials uploaded so students should continue to check for updates </w:t>
      </w:r>
    </w:p>
    <w:p w14:paraId="1B58C54D" w14:textId="77777777" w:rsidR="0079792A" w:rsidRDefault="007A62E5">
      <w:pPr>
        <w:spacing w:after="38"/>
      </w:pPr>
      <w:r>
        <w:t xml:space="preserve"> </w:t>
      </w:r>
    </w:p>
    <w:p w14:paraId="3795ED52" w14:textId="77777777" w:rsidR="0079792A" w:rsidRDefault="007A62E5">
      <w:pPr>
        <w:pStyle w:val="Heading1"/>
        <w:ind w:left="-5"/>
      </w:pPr>
      <w:r>
        <w:t>GCSE</w:t>
      </w:r>
      <w:r>
        <w:rPr>
          <w:u w:val="none"/>
        </w:rPr>
        <w:t xml:space="preserve"> </w:t>
      </w:r>
    </w:p>
    <w:p w14:paraId="0DBE2E2C" w14:textId="77777777" w:rsidR="0079792A" w:rsidRDefault="007A62E5">
      <w:pPr>
        <w:spacing w:after="0"/>
      </w:pPr>
      <w:r>
        <w:rPr>
          <w:b/>
          <w:sz w:val="28"/>
        </w:rPr>
        <w:t xml:space="preserve"> </w:t>
      </w:r>
    </w:p>
    <w:p w14:paraId="53FDF71E" w14:textId="77777777" w:rsidR="0079792A" w:rsidRDefault="007A62E5">
      <w:pPr>
        <w:pStyle w:val="Heading2"/>
        <w:ind w:left="-5"/>
      </w:pPr>
      <w:r>
        <w:t xml:space="preserve">Year 11 </w:t>
      </w:r>
    </w:p>
    <w:p w14:paraId="50FE2F63" w14:textId="77777777" w:rsidR="0079792A" w:rsidRDefault="007A62E5">
      <w:pPr>
        <w:spacing w:after="0"/>
      </w:pPr>
      <w:r>
        <w:t xml:space="preserve"> </w:t>
      </w:r>
    </w:p>
    <w:tbl>
      <w:tblPr>
        <w:tblStyle w:val="TableGrid"/>
        <w:tblW w:w="9009" w:type="dxa"/>
        <w:tblInd w:w="10" w:type="dxa"/>
        <w:tblCellMar>
          <w:top w:w="5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255"/>
        <w:gridCol w:w="5754"/>
      </w:tblGrid>
      <w:tr w:rsidR="0079792A" w14:paraId="31EF7775" w14:textId="77777777">
        <w:trPr>
          <w:trHeight w:val="1095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6CBB9C" w14:textId="77777777" w:rsidR="0079792A" w:rsidRDefault="007A62E5">
            <w:pPr>
              <w:spacing w:after="598"/>
            </w:pPr>
            <w:r>
              <w:t xml:space="preserve">Link to specification </w:t>
            </w:r>
          </w:p>
          <w:p w14:paraId="606636EC" w14:textId="77777777" w:rsidR="0079792A" w:rsidRDefault="007A62E5">
            <w:pPr>
              <w:spacing w:after="0"/>
            </w:pPr>
            <w:r>
              <w:t xml:space="preserve">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E629" w14:textId="096C43B8" w:rsidR="0079792A" w:rsidRDefault="0079792A">
            <w:pPr>
              <w:spacing w:after="0"/>
            </w:pPr>
          </w:p>
        </w:tc>
      </w:tr>
      <w:tr w:rsidR="0079792A" w14:paraId="1C18E1B0" w14:textId="77777777">
        <w:trPr>
          <w:trHeight w:val="826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7EB2" w14:textId="77777777" w:rsidR="0079792A" w:rsidRDefault="0079792A"/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5F89" w14:textId="77777777" w:rsidR="0079792A" w:rsidRDefault="007A62E5">
            <w:pPr>
              <w:spacing w:after="0"/>
              <w:ind w:right="50"/>
              <w:jc w:val="both"/>
            </w:pPr>
            <w:r>
              <w:t xml:space="preserve">Past papers, mark schemes and examiners </w:t>
            </w:r>
            <w:proofErr w:type="gramStart"/>
            <w:r>
              <w:t>reports</w:t>
            </w:r>
            <w:proofErr w:type="gramEnd"/>
            <w:r>
              <w:t xml:space="preserve"> along with student exemplars can be found by following the above links for GCSE English Language and GCSE English Literature </w:t>
            </w:r>
          </w:p>
        </w:tc>
      </w:tr>
      <w:tr w:rsidR="0079792A" w14:paraId="11375ABE" w14:textId="77777777">
        <w:trPr>
          <w:trHeight w:val="1094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6EB64" w14:textId="77777777" w:rsidR="0079792A" w:rsidRDefault="007A62E5">
            <w:pPr>
              <w:spacing w:after="0"/>
            </w:pPr>
            <w:r>
              <w:t xml:space="preserve">Any additional links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15A0" w14:textId="77777777" w:rsidR="0079792A" w:rsidRDefault="007A62E5">
            <w:pPr>
              <w:spacing w:after="0"/>
              <w:ind w:right="48"/>
              <w:jc w:val="both"/>
            </w:pPr>
            <w:r>
              <w:t xml:space="preserve">Students should all be able to access a range of revision material, practice questions and exam papers </w:t>
            </w:r>
            <w:r>
              <w:rPr>
                <w:u w:val="single" w:color="000000"/>
              </w:rPr>
              <w:t>on Show My</w:t>
            </w:r>
            <w:r>
              <w:t xml:space="preserve"> </w:t>
            </w:r>
            <w:r>
              <w:rPr>
                <w:u w:val="single" w:color="000000"/>
              </w:rPr>
              <w:t>Homework</w:t>
            </w:r>
            <w:r>
              <w:t xml:space="preserve">. They all have a comprehensive Revision Checklist to help structure and focus their revision tasks. </w:t>
            </w:r>
          </w:p>
        </w:tc>
      </w:tr>
    </w:tbl>
    <w:p w14:paraId="13A0F22C" w14:textId="77777777" w:rsidR="0079792A" w:rsidRDefault="007A62E5">
      <w:pPr>
        <w:spacing w:after="38"/>
      </w:pPr>
      <w:r>
        <w:t xml:space="preserve"> </w:t>
      </w:r>
    </w:p>
    <w:p w14:paraId="2077343A" w14:textId="77777777" w:rsidR="0079792A" w:rsidRDefault="007A62E5">
      <w:pPr>
        <w:pStyle w:val="Heading2"/>
        <w:ind w:left="-5"/>
      </w:pPr>
      <w:r>
        <w:t xml:space="preserve">Year 10 </w:t>
      </w:r>
    </w:p>
    <w:p w14:paraId="181B53AD" w14:textId="77777777" w:rsidR="0079792A" w:rsidRDefault="007A62E5">
      <w:pPr>
        <w:spacing w:after="0"/>
      </w:pPr>
      <w:r>
        <w:t xml:space="preserve"> </w:t>
      </w:r>
    </w:p>
    <w:p w14:paraId="6B65D153" w14:textId="21C4517B" w:rsidR="0079792A" w:rsidRDefault="007A62E5">
      <w:pPr>
        <w:spacing w:after="0" w:line="239" w:lineRule="auto"/>
      </w:pPr>
      <w:r>
        <w:t xml:space="preserve">A revision book for Dr </w:t>
      </w:r>
      <w:r>
        <w:t>Jekyll and Mr Hyde and An Inspector Calls</w:t>
      </w:r>
      <w:r>
        <w:t xml:space="preserve"> is seen within this section</w:t>
      </w:r>
      <w:r>
        <w:t xml:space="preserve">. They should aim to complete as much of it as possible but a minimum of pages 1-17. There is a link to an on-line version of the text to assist them. </w:t>
      </w:r>
    </w:p>
    <w:p w14:paraId="3C1C4B8F" w14:textId="77777777" w:rsidR="0079792A" w:rsidRDefault="007A62E5">
      <w:pPr>
        <w:spacing w:after="0"/>
      </w:pPr>
      <w:r>
        <w:t xml:space="preserve"> </w:t>
      </w:r>
    </w:p>
    <w:p w14:paraId="248B8C7C" w14:textId="77777777" w:rsidR="0079792A" w:rsidRDefault="007A62E5">
      <w:pPr>
        <w:spacing w:after="38"/>
      </w:pPr>
      <w:r>
        <w:t xml:space="preserve"> </w:t>
      </w:r>
    </w:p>
    <w:p w14:paraId="18993B3B" w14:textId="77777777" w:rsidR="0079792A" w:rsidRDefault="007A62E5">
      <w:pPr>
        <w:pStyle w:val="Heading1"/>
        <w:ind w:left="-5"/>
      </w:pPr>
      <w:r>
        <w:t>A Level</w:t>
      </w:r>
      <w:r>
        <w:rPr>
          <w:u w:val="none"/>
        </w:rPr>
        <w:t xml:space="preserve">  </w:t>
      </w:r>
    </w:p>
    <w:p w14:paraId="4981F32A" w14:textId="77777777" w:rsidR="0079792A" w:rsidRDefault="007A62E5">
      <w:pPr>
        <w:spacing w:after="0"/>
      </w:pPr>
      <w:r>
        <w:rPr>
          <w:sz w:val="28"/>
        </w:rPr>
        <w:t xml:space="preserve"> </w:t>
      </w:r>
    </w:p>
    <w:p w14:paraId="195A7CF5" w14:textId="77777777" w:rsidR="0079792A" w:rsidRDefault="007A62E5">
      <w:pPr>
        <w:pStyle w:val="Heading2"/>
        <w:ind w:left="-5"/>
      </w:pPr>
      <w:r>
        <w:t xml:space="preserve">Year 12 </w:t>
      </w:r>
    </w:p>
    <w:p w14:paraId="3F788FA8" w14:textId="77777777" w:rsidR="0079792A" w:rsidRDefault="007A62E5">
      <w:pPr>
        <w:spacing w:after="0"/>
      </w:pPr>
      <w:r>
        <w:t xml:space="preserve"> </w:t>
      </w:r>
    </w:p>
    <w:tbl>
      <w:tblPr>
        <w:tblStyle w:val="TableGrid"/>
        <w:tblW w:w="9009" w:type="dxa"/>
        <w:tblInd w:w="10" w:type="dxa"/>
        <w:tblCellMar>
          <w:top w:w="50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246"/>
        <w:gridCol w:w="5763"/>
      </w:tblGrid>
      <w:tr w:rsidR="0079792A" w14:paraId="5FB5C983" w14:textId="77777777">
        <w:trPr>
          <w:trHeight w:val="826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2BF2E8" w14:textId="77777777" w:rsidR="0079792A" w:rsidRDefault="007A62E5">
            <w:pPr>
              <w:spacing w:after="328"/>
            </w:pPr>
            <w:r>
              <w:t xml:space="preserve">Link to specification </w:t>
            </w:r>
          </w:p>
          <w:p w14:paraId="24125DB7" w14:textId="77777777" w:rsidR="0079792A" w:rsidRDefault="007A62E5">
            <w:pPr>
              <w:spacing w:after="0"/>
            </w:pPr>
            <w:r>
              <w:t xml:space="preserve">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E821" w14:textId="77777777" w:rsidR="0079792A" w:rsidRDefault="007A62E5">
            <w:pPr>
              <w:spacing w:after="0" w:line="239" w:lineRule="auto"/>
            </w:pPr>
            <w:hyperlink r:id="rId4">
              <w:r>
                <w:rPr>
                  <w:color w:val="0563C1"/>
                  <w:u w:val="single" w:color="0563C1"/>
                </w:rPr>
                <w:t>https://qualifications.pearson.com/en/qualifications/edexcel</w:t>
              </w:r>
            </w:hyperlink>
            <w:hyperlink r:id="rId5"/>
            <w:hyperlink r:id="rId6">
              <w:r>
                <w:rPr>
                  <w:color w:val="0563C1"/>
                  <w:u w:val="single" w:color="0563C1"/>
                </w:rPr>
                <w:t>a</w:t>
              </w:r>
            </w:hyperlink>
            <w:hyperlink r:id="rId7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8">
              <w:r>
                <w:rPr>
                  <w:color w:val="0563C1"/>
                  <w:u w:val="single" w:color="0563C1"/>
                </w:rPr>
                <w:t>levels/english</w:t>
              </w:r>
            </w:hyperlink>
            <w:hyperlink r:id="rId9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0">
              <w:r>
                <w:rPr>
                  <w:color w:val="0563C1"/>
                  <w:u w:val="single" w:color="0563C1"/>
                </w:rPr>
                <w:t>literature</w:t>
              </w:r>
            </w:hyperlink>
            <w:hyperlink r:id="rId11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2">
              <w:r>
                <w:rPr>
                  <w:color w:val="0563C1"/>
                  <w:u w:val="single" w:color="0563C1"/>
                </w:rPr>
                <w:t>2015.html</w:t>
              </w:r>
            </w:hyperlink>
            <w:hyperlink r:id="rId13">
              <w:r>
                <w:t xml:space="preserve"> </w:t>
              </w:r>
            </w:hyperlink>
          </w:p>
          <w:p w14:paraId="31533219" w14:textId="77777777" w:rsidR="0079792A" w:rsidRDefault="007A62E5">
            <w:pPr>
              <w:spacing w:after="0"/>
            </w:pPr>
            <w:r>
              <w:t xml:space="preserve"> </w:t>
            </w:r>
          </w:p>
        </w:tc>
      </w:tr>
      <w:tr w:rsidR="0079792A" w14:paraId="0FC1FC0E" w14:textId="77777777">
        <w:trPr>
          <w:trHeight w:val="55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9E06" w14:textId="77777777" w:rsidR="0079792A" w:rsidRDefault="0079792A"/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3A8D" w14:textId="77777777" w:rsidR="0079792A" w:rsidRDefault="007A62E5">
            <w:pPr>
              <w:spacing w:after="0"/>
              <w:jc w:val="both"/>
            </w:pPr>
            <w:r>
              <w:t xml:space="preserve">Past papers, mark schemes and examiners </w:t>
            </w:r>
            <w:proofErr w:type="gramStart"/>
            <w:r>
              <w:t>reports</w:t>
            </w:r>
            <w:proofErr w:type="gramEnd"/>
            <w:r>
              <w:t xml:space="preserve"> along with student exemplars can be found by following the above link </w:t>
            </w:r>
          </w:p>
        </w:tc>
      </w:tr>
      <w:tr w:rsidR="0079792A" w14:paraId="5A636FFF" w14:textId="77777777">
        <w:trPr>
          <w:trHeight w:val="1633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6DD8" w14:textId="77777777" w:rsidR="0079792A" w:rsidRDefault="007A62E5">
            <w:pPr>
              <w:spacing w:after="0"/>
            </w:pPr>
            <w:r>
              <w:lastRenderedPageBreak/>
              <w:t xml:space="preserve">Any additional links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B942" w14:textId="0E58279E" w:rsidR="0079792A" w:rsidRDefault="007A62E5">
            <w:pPr>
              <w:spacing w:after="0" w:line="240" w:lineRule="auto"/>
              <w:ind w:right="49"/>
              <w:jc w:val="both"/>
            </w:pPr>
            <w:r>
              <w:t>Students have been given a Revision Checklist to help focus their revision for the trial exams. All relevant resources are posted on Teams</w:t>
            </w:r>
            <w:r>
              <w:t xml:space="preserve">. They have a homework booklet with structured activities to be completing. </w:t>
            </w:r>
          </w:p>
          <w:p w14:paraId="56B0DEE2" w14:textId="77777777" w:rsidR="0079792A" w:rsidRDefault="007A62E5">
            <w:pPr>
              <w:spacing w:after="0"/>
              <w:jc w:val="both"/>
            </w:pPr>
            <w:r>
              <w:t xml:space="preserve">It is also essential they have re-read both Drama texts and both Prose texts. </w:t>
            </w:r>
          </w:p>
        </w:tc>
      </w:tr>
    </w:tbl>
    <w:p w14:paraId="33CC790E" w14:textId="77777777" w:rsidR="0079792A" w:rsidRDefault="007A62E5">
      <w:pPr>
        <w:spacing w:after="0"/>
      </w:pPr>
      <w:r>
        <w:t xml:space="preserve"> </w:t>
      </w:r>
    </w:p>
    <w:p w14:paraId="464CEBBF" w14:textId="77777777" w:rsidR="0079792A" w:rsidRDefault="007A62E5">
      <w:pPr>
        <w:spacing w:after="0"/>
      </w:pPr>
      <w:r>
        <w:t xml:space="preserve"> </w:t>
      </w:r>
    </w:p>
    <w:p w14:paraId="0FFCDA2D" w14:textId="77777777" w:rsidR="0079792A" w:rsidRDefault="007A62E5">
      <w:pPr>
        <w:spacing w:after="0"/>
      </w:pPr>
      <w:r>
        <w:t xml:space="preserve"> </w:t>
      </w:r>
    </w:p>
    <w:p w14:paraId="724AB760" w14:textId="77777777" w:rsidR="0079792A" w:rsidRDefault="007A62E5">
      <w:pPr>
        <w:spacing w:after="0"/>
      </w:pPr>
      <w:r>
        <w:t xml:space="preserve"> </w:t>
      </w:r>
    </w:p>
    <w:p w14:paraId="3769E592" w14:textId="77777777" w:rsidR="0079792A" w:rsidRDefault="007A62E5">
      <w:pPr>
        <w:spacing w:after="0"/>
      </w:pPr>
      <w:r>
        <w:t xml:space="preserve"> </w:t>
      </w:r>
    </w:p>
    <w:p w14:paraId="7498EA14" w14:textId="77777777" w:rsidR="0079792A" w:rsidRDefault="007A62E5">
      <w:pPr>
        <w:spacing w:after="38"/>
      </w:pPr>
      <w:r>
        <w:t xml:space="preserve"> </w:t>
      </w:r>
    </w:p>
    <w:p w14:paraId="2958EB84" w14:textId="77777777" w:rsidR="0079792A" w:rsidRDefault="007A62E5">
      <w:pPr>
        <w:spacing w:after="0"/>
      </w:pPr>
      <w:r>
        <w:rPr>
          <w:sz w:val="28"/>
        </w:rPr>
        <w:t xml:space="preserve"> </w:t>
      </w:r>
    </w:p>
    <w:p w14:paraId="534FF04F" w14:textId="77777777" w:rsidR="0079792A" w:rsidRDefault="007A62E5">
      <w:pPr>
        <w:pStyle w:val="Heading2"/>
        <w:ind w:left="-5"/>
      </w:pPr>
      <w:r>
        <w:t xml:space="preserve">Year 13 </w:t>
      </w:r>
    </w:p>
    <w:p w14:paraId="3CC2D9DF" w14:textId="77777777" w:rsidR="0079792A" w:rsidRDefault="007A62E5">
      <w:pPr>
        <w:spacing w:after="0"/>
      </w:pPr>
      <w:r>
        <w:t xml:space="preserve"> </w:t>
      </w:r>
    </w:p>
    <w:tbl>
      <w:tblPr>
        <w:tblStyle w:val="TableGrid"/>
        <w:tblW w:w="9009" w:type="dxa"/>
        <w:tblInd w:w="10" w:type="dxa"/>
        <w:tblCellMar>
          <w:top w:w="50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244"/>
        <w:gridCol w:w="5765"/>
      </w:tblGrid>
      <w:tr w:rsidR="0079792A" w14:paraId="36E9EA17" w14:textId="77777777">
        <w:trPr>
          <w:trHeight w:val="826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2D0B51" w14:textId="77777777" w:rsidR="0079792A" w:rsidRDefault="007A62E5">
            <w:pPr>
              <w:spacing w:after="328"/>
            </w:pPr>
            <w:r>
              <w:t xml:space="preserve">Link to specification </w:t>
            </w:r>
          </w:p>
          <w:p w14:paraId="4D17EAF5" w14:textId="77777777" w:rsidR="0079792A" w:rsidRDefault="007A62E5">
            <w:pPr>
              <w:spacing w:after="0"/>
            </w:pPr>
            <w:r>
              <w:t xml:space="preserve">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8C40" w14:textId="77777777" w:rsidR="0079792A" w:rsidRDefault="007A62E5">
            <w:pPr>
              <w:spacing w:after="0" w:line="239" w:lineRule="auto"/>
            </w:pPr>
            <w:hyperlink r:id="rId14">
              <w:r>
                <w:rPr>
                  <w:color w:val="0563C1"/>
                  <w:u w:val="single" w:color="0563C1"/>
                </w:rPr>
                <w:t>https://qualifications.pearson.com/en/qualifications/edexcel</w:t>
              </w:r>
            </w:hyperlink>
            <w:hyperlink r:id="rId15"/>
            <w:hyperlink r:id="rId16">
              <w:r>
                <w:rPr>
                  <w:color w:val="0563C1"/>
                  <w:u w:val="single" w:color="0563C1"/>
                </w:rPr>
                <w:t>a</w:t>
              </w:r>
            </w:hyperlink>
            <w:hyperlink r:id="rId17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18">
              <w:r>
                <w:rPr>
                  <w:color w:val="0563C1"/>
                  <w:u w:val="single" w:color="0563C1"/>
                </w:rPr>
                <w:t>levels/english</w:t>
              </w:r>
            </w:hyperlink>
            <w:hyperlink r:id="rId19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0">
              <w:r>
                <w:rPr>
                  <w:color w:val="0563C1"/>
                  <w:u w:val="single" w:color="0563C1"/>
                </w:rPr>
                <w:t>literature</w:t>
              </w:r>
            </w:hyperlink>
            <w:hyperlink r:id="rId21">
              <w:r>
                <w:rPr>
                  <w:color w:val="0563C1"/>
                  <w:u w:val="single" w:color="0563C1"/>
                </w:rPr>
                <w:t>-</w:t>
              </w:r>
            </w:hyperlink>
            <w:hyperlink r:id="rId22">
              <w:r>
                <w:rPr>
                  <w:color w:val="0563C1"/>
                  <w:u w:val="single" w:color="0563C1"/>
                </w:rPr>
                <w:t>2015.html</w:t>
              </w:r>
            </w:hyperlink>
            <w:hyperlink r:id="rId23">
              <w:r>
                <w:t xml:space="preserve"> </w:t>
              </w:r>
            </w:hyperlink>
          </w:p>
          <w:p w14:paraId="1C1A4586" w14:textId="77777777" w:rsidR="0079792A" w:rsidRDefault="007A62E5">
            <w:pPr>
              <w:spacing w:after="0"/>
            </w:pPr>
            <w:r>
              <w:t xml:space="preserve"> </w:t>
            </w:r>
          </w:p>
        </w:tc>
      </w:tr>
      <w:tr w:rsidR="0079792A" w14:paraId="5FBC8734" w14:textId="77777777">
        <w:trPr>
          <w:trHeight w:val="55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47FA" w14:textId="77777777" w:rsidR="0079792A" w:rsidRDefault="0079792A"/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1092" w14:textId="77777777" w:rsidR="0079792A" w:rsidRDefault="007A62E5">
            <w:pPr>
              <w:spacing w:after="0"/>
              <w:jc w:val="both"/>
            </w:pPr>
            <w:r>
              <w:t xml:space="preserve">Past papers, mark schemes and examiners </w:t>
            </w:r>
            <w:proofErr w:type="gramStart"/>
            <w:r>
              <w:t>reports</w:t>
            </w:r>
            <w:proofErr w:type="gramEnd"/>
            <w:r>
              <w:t xml:space="preserve"> along with student exemplars can be found by following the above link </w:t>
            </w:r>
          </w:p>
        </w:tc>
      </w:tr>
      <w:tr w:rsidR="0079792A" w14:paraId="6333600F" w14:textId="77777777">
        <w:trPr>
          <w:trHeight w:val="1094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BD1BF" w14:textId="77777777" w:rsidR="0079792A" w:rsidRDefault="007A62E5">
            <w:pPr>
              <w:spacing w:after="0"/>
            </w:pPr>
            <w:r>
              <w:t xml:space="preserve">Any additional links </w:t>
            </w:r>
          </w:p>
        </w:tc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A6FE5" w14:textId="77777777" w:rsidR="0079792A" w:rsidRDefault="007A62E5">
            <w:pPr>
              <w:spacing w:after="0"/>
              <w:ind w:right="48"/>
              <w:jc w:val="both"/>
            </w:pPr>
            <w:r>
              <w:t xml:space="preserve">There are revision packs, </w:t>
            </w:r>
            <w:proofErr w:type="spellStart"/>
            <w:r>
              <w:t>powerpoints</w:t>
            </w:r>
            <w:proofErr w:type="spellEnd"/>
            <w:r>
              <w:t xml:space="preserve">, past exam papers and examiners reports for each unit on Show My Homework. They all have a comprehensive Revision Checklist to help structure and focus their revision tasks. </w:t>
            </w:r>
          </w:p>
        </w:tc>
      </w:tr>
    </w:tbl>
    <w:p w14:paraId="44F8FE4F" w14:textId="77777777" w:rsidR="0079792A" w:rsidRDefault="007A62E5">
      <w:pPr>
        <w:spacing w:after="0"/>
      </w:pPr>
      <w:r>
        <w:t xml:space="preserve"> </w:t>
      </w:r>
    </w:p>
    <w:sectPr w:rsidR="0079792A">
      <w:pgSz w:w="11906" w:h="16838"/>
      <w:pgMar w:top="1481" w:right="1440" w:bottom="14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2A"/>
    <w:rsid w:val="0079792A"/>
    <w:rsid w:val="007A62E5"/>
    <w:rsid w:val="00E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E7A1"/>
  <w15:docId w15:val="{BD2C7120-F7E3-499D-88AC-0D30812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en/qualifications/edexcel-a-levels/english-literature-2015.html" TargetMode="External"/><Relationship Id="rId13" Type="http://schemas.openxmlformats.org/officeDocument/2006/relationships/hyperlink" Target="https://qualifications.pearson.com/en/qualifications/edexcel-a-levels/english-literature-2015.html" TargetMode="External"/><Relationship Id="rId18" Type="http://schemas.openxmlformats.org/officeDocument/2006/relationships/hyperlink" Target="https://qualifications.pearson.com/en/qualifications/edexcel-a-levels/english-literature-2015.html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qualifications.pearson.com/en/qualifications/edexcel-a-levels/english-literature-2015.html" TargetMode="External"/><Relationship Id="rId7" Type="http://schemas.openxmlformats.org/officeDocument/2006/relationships/hyperlink" Target="https://qualifications.pearson.com/en/qualifications/edexcel-a-levels/english-literature-2015.html" TargetMode="External"/><Relationship Id="rId12" Type="http://schemas.openxmlformats.org/officeDocument/2006/relationships/hyperlink" Target="https://qualifications.pearson.com/en/qualifications/edexcel-a-levels/english-literature-2015.html" TargetMode="External"/><Relationship Id="rId17" Type="http://schemas.openxmlformats.org/officeDocument/2006/relationships/hyperlink" Target="https://qualifications.pearson.com/en/qualifications/edexcel-a-levels/english-literature-2015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qualifications.pearson.com/en/qualifications/edexcel-a-levels/english-literature-2015.html" TargetMode="External"/><Relationship Id="rId20" Type="http://schemas.openxmlformats.org/officeDocument/2006/relationships/hyperlink" Target="https://qualifications.pearson.com/en/qualifications/edexcel-a-levels/english-literature-20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qualifications.pearson.com/en/qualifications/edexcel-a-levels/english-literature-2015.html" TargetMode="External"/><Relationship Id="rId11" Type="http://schemas.openxmlformats.org/officeDocument/2006/relationships/hyperlink" Target="https://qualifications.pearson.com/en/qualifications/edexcel-a-levels/english-literature-2015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qualifications.pearson.com/en/qualifications/edexcel-a-levels/english-literature-2015.html" TargetMode="External"/><Relationship Id="rId15" Type="http://schemas.openxmlformats.org/officeDocument/2006/relationships/hyperlink" Target="https://qualifications.pearson.com/en/qualifications/edexcel-a-levels/english-literature-2015.html" TargetMode="External"/><Relationship Id="rId23" Type="http://schemas.openxmlformats.org/officeDocument/2006/relationships/hyperlink" Target="https://qualifications.pearson.com/en/qualifications/edexcel-a-levels/english-literature-2015.html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qualifications.pearson.com/en/qualifications/edexcel-a-levels/english-literature-2015.html" TargetMode="External"/><Relationship Id="rId19" Type="http://schemas.openxmlformats.org/officeDocument/2006/relationships/hyperlink" Target="https://qualifications.pearson.com/en/qualifications/edexcel-a-levels/english-literature-2015.html" TargetMode="External"/><Relationship Id="rId4" Type="http://schemas.openxmlformats.org/officeDocument/2006/relationships/hyperlink" Target="https://qualifications.pearson.com/en/qualifications/edexcel-a-levels/english-literature-2015.html" TargetMode="External"/><Relationship Id="rId9" Type="http://schemas.openxmlformats.org/officeDocument/2006/relationships/hyperlink" Target="https://qualifications.pearson.com/en/qualifications/edexcel-a-levels/english-literature-2015.html" TargetMode="External"/><Relationship Id="rId14" Type="http://schemas.openxmlformats.org/officeDocument/2006/relationships/hyperlink" Target="https://qualifications.pearson.com/en/qualifications/edexcel-a-levels/english-literature-2015.html" TargetMode="External"/><Relationship Id="rId22" Type="http://schemas.openxmlformats.org/officeDocument/2006/relationships/hyperlink" Target="https://qualifications.pearson.com/en/qualifications/edexcel-a-levels/english-literature-2015.html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70A6BD-F382-46B2-826F-C5F47AB5759E}"/>
</file>

<file path=customXml/itemProps2.xml><?xml version="1.0" encoding="utf-8"?>
<ds:datastoreItem xmlns:ds="http://schemas.openxmlformats.org/officeDocument/2006/customXml" ds:itemID="{B538BF1E-1EE6-4361-9F08-0D697A554CD9}"/>
</file>

<file path=customXml/itemProps3.xml><?xml version="1.0" encoding="utf-8"?>
<ds:datastoreItem xmlns:ds="http://schemas.openxmlformats.org/officeDocument/2006/customXml" ds:itemID="{5D4F9859-A96F-4C58-B4E5-EEF14EF53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Bissett</dc:creator>
  <cp:keywords/>
  <cp:lastModifiedBy>Mr S. Slinn</cp:lastModifiedBy>
  <cp:revision>2</cp:revision>
  <dcterms:created xsi:type="dcterms:W3CDTF">2024-06-12T10:49:00Z</dcterms:created>
  <dcterms:modified xsi:type="dcterms:W3CDTF">2024-06-12T10:49:00Z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