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34F9157" w:rsidP="7AA6C981" w:rsidRDefault="234F9157" w14:paraId="7730CC46" w14:textId="773E2B8C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AA6C981" w:rsidR="234F91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Exam Board: Edexcel</w:t>
      </w:r>
    </w:p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020"/>
        <w:gridCol w:w="5194"/>
        <w:gridCol w:w="5441"/>
        <w:gridCol w:w="3949"/>
      </w:tblGrid>
      <w:tr w:rsidRPr="008041E8" w:rsidR="00055320" w:rsidTr="006567DF" w14:paraId="02B67415" w14:textId="77777777">
        <w:trPr>
          <w:trHeight w:val="432"/>
        </w:trPr>
        <w:tc>
          <w:tcPr>
            <w:tcW w:w="1020" w:type="dxa"/>
            <w:vMerge w:val="restart"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5194" w:type="dxa"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441" w:type="dxa"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949" w:type="dxa"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006567DF" w14:paraId="3026A24F" w14:textId="77777777">
        <w:trPr>
          <w:trHeight w:val="143"/>
        </w:trPr>
        <w:tc>
          <w:tcPr>
            <w:tcW w:w="1020" w:type="dxa"/>
            <w:vMerge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5194" w:type="dxa"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441" w:type="dxa"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 xml:space="preserve">This is the action taken within a particular topic </w:t>
            </w:r>
            <w:proofErr w:type="gramStart"/>
            <w:r>
              <w:t>in order to</w:t>
            </w:r>
            <w:proofErr w:type="gramEnd"/>
            <w:r>
              <w:t xml:space="preserve"> gain substantive knowledge.</w:t>
            </w:r>
          </w:p>
        </w:tc>
        <w:tc>
          <w:tcPr>
            <w:tcW w:w="3949" w:type="dxa"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Pr="00732BB2" w:rsidR="0011493F" w:rsidTr="006567DF" w14:paraId="68F5DA54" w14:textId="77777777">
        <w:trPr>
          <w:trHeight w:val="536"/>
        </w:trPr>
        <w:tc>
          <w:tcPr>
            <w:tcW w:w="1020" w:type="dxa"/>
            <w:vMerge w:val="restart"/>
            <w:shd w:val="clear" w:color="auto" w:fill="FFF2CC" w:themeFill="accent4" w:themeFillTint="33"/>
          </w:tcPr>
          <w:p w:rsidRPr="00732BB2" w:rsidR="0011493F" w:rsidP="0011493F" w:rsidRDefault="0011493F" w14:paraId="552D70D6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Autumn Term</w:t>
            </w:r>
          </w:p>
          <w:p w:rsidRPr="00732BB2" w:rsidR="0011493F" w:rsidP="0011493F" w:rsidRDefault="0011493F" w14:paraId="4B4EAE2A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1A</w:t>
            </w:r>
          </w:p>
          <w:p w:rsidRPr="00732BB2" w:rsidR="0011493F" w:rsidP="0011493F" w:rsidRDefault="0011493F" w14:paraId="247C54BB" w14:textId="5E72D64F">
            <w:pPr>
              <w:rPr>
                <w:b/>
                <w:bCs/>
              </w:rPr>
            </w:pPr>
          </w:p>
        </w:tc>
        <w:tc>
          <w:tcPr>
            <w:tcW w:w="5194" w:type="dxa"/>
          </w:tcPr>
          <w:p w:rsidRPr="006567DF" w:rsidR="0011493F" w:rsidP="0011493F" w:rsidRDefault="0011493F" w14:paraId="50CB4ABF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6567DF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Intent </w:t>
            </w:r>
          </w:p>
          <w:p w:rsidRPr="006567DF" w:rsidR="0011493F" w:rsidP="0011493F" w:rsidRDefault="0011493F" w14:paraId="21FF5FCC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cstheme="majorHAnsi"/>
                <w:sz w:val="20"/>
                <w:szCs w:val="20"/>
              </w:rPr>
              <w:t xml:space="preserve">Why is this taught now? </w:t>
            </w:r>
          </w:p>
        </w:tc>
        <w:tc>
          <w:tcPr>
            <w:tcW w:w="5441" w:type="dxa"/>
            <w:vMerge w:val="restart"/>
          </w:tcPr>
          <w:p w:rsidRPr="006567DF" w:rsidR="000A1DC7" w:rsidP="000A1DC7" w:rsidRDefault="000A1DC7" w14:paraId="508E3915" w14:textId="060D0239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eastAsiaTheme="majorEastAsia" w:cstheme="majorHAnsi"/>
                <w:sz w:val="20"/>
                <w:szCs w:val="20"/>
              </w:rPr>
              <w:t>Key concepts:</w:t>
            </w:r>
          </w:p>
          <w:p w:rsidRPr="006567DF" w:rsidR="00F477AE" w:rsidP="0017283C" w:rsidRDefault="00F477AE" w14:paraId="454D75C7" w14:textId="3EF1CD4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cstheme="majorHAnsi"/>
                <w:sz w:val="20"/>
                <w:szCs w:val="20"/>
              </w:rPr>
              <w:t xml:space="preserve">Change and continuity: The development of </w:t>
            </w:r>
            <w:r w:rsidRPr="006567DF" w:rsidR="00AA3008">
              <w:rPr>
                <w:rFonts w:asciiTheme="majorHAnsi" w:hAnsiTheme="majorHAnsi" w:cstheme="majorHAnsi"/>
                <w:sz w:val="20"/>
                <w:szCs w:val="20"/>
              </w:rPr>
              <w:t xml:space="preserve">pressure for changes to public health reform and the role of the government. As well as the role played by local interests, </w:t>
            </w:r>
            <w:r w:rsidRPr="006567DF" w:rsidR="006B635B">
              <w:rPr>
                <w:rFonts w:asciiTheme="majorHAnsi" w:hAnsiTheme="majorHAnsi" w:cstheme="majorHAnsi"/>
                <w:sz w:val="20"/>
                <w:szCs w:val="20"/>
              </w:rPr>
              <w:t>individuals,</w:t>
            </w:r>
            <w:r w:rsidRPr="006567DF" w:rsidR="00A31426">
              <w:rPr>
                <w:rFonts w:asciiTheme="majorHAnsi" w:hAnsiTheme="majorHAnsi" w:cstheme="majorHAnsi"/>
                <w:sz w:val="20"/>
                <w:szCs w:val="20"/>
              </w:rPr>
              <w:t xml:space="preserve"> and government and how they change over time.</w:t>
            </w:r>
            <w:r w:rsidRPr="006567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Pr="006567DF" w:rsidR="00F477AE" w:rsidP="0017283C" w:rsidRDefault="00F477AE" w14:paraId="16E4B450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cstheme="majorHAnsi"/>
                <w:sz w:val="20"/>
                <w:szCs w:val="20"/>
              </w:rPr>
              <w:t>Similarity and Difference: A comparison between the different case studies to assess the similarities and differences.</w:t>
            </w:r>
          </w:p>
          <w:p w:rsidRPr="006567DF" w:rsidR="00F477AE" w:rsidP="0017283C" w:rsidRDefault="00F477AE" w14:paraId="6EFF5CC8" w14:textId="3492885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cstheme="majorHAnsi"/>
                <w:sz w:val="20"/>
                <w:szCs w:val="20"/>
              </w:rPr>
              <w:t xml:space="preserve">Significance: How significant different factors, individuals or events are in driving change </w:t>
            </w:r>
            <w:r w:rsidRPr="006567DF" w:rsidR="003F2FF9">
              <w:rPr>
                <w:rFonts w:asciiTheme="majorHAnsi" w:hAnsiTheme="majorHAnsi" w:cstheme="majorHAnsi"/>
                <w:sz w:val="20"/>
                <w:szCs w:val="20"/>
              </w:rPr>
              <w:t>and the pressure for change in the role of the government and Public Health in Britain between the years 1</w:t>
            </w:r>
            <w:r w:rsidRPr="006567DF" w:rsidR="00870837">
              <w:rPr>
                <w:rFonts w:asciiTheme="majorHAnsi" w:hAnsiTheme="majorHAnsi" w:cstheme="majorHAnsi"/>
                <w:sz w:val="20"/>
                <w:szCs w:val="20"/>
              </w:rPr>
              <w:t>780-1939 (key turning points)</w:t>
            </w:r>
          </w:p>
          <w:p w:rsidRPr="006567DF" w:rsidR="0011493F" w:rsidP="0017283C" w:rsidRDefault="00F477AE" w14:paraId="6505901E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cstheme="majorHAnsi"/>
                <w:sz w:val="20"/>
                <w:szCs w:val="20"/>
              </w:rPr>
              <w:t xml:space="preserve">Chronology: A clear understanding of the order of events </w:t>
            </w:r>
            <w:r w:rsidRPr="006567DF" w:rsidR="003F2FF9">
              <w:rPr>
                <w:rFonts w:asciiTheme="majorHAnsi" w:hAnsiTheme="majorHAnsi" w:cstheme="majorHAnsi"/>
                <w:sz w:val="20"/>
                <w:szCs w:val="20"/>
              </w:rPr>
              <w:t>that led to pressures for reform and reforms themselves.</w:t>
            </w:r>
          </w:p>
          <w:p w:rsidRPr="006567DF" w:rsidR="004C352B" w:rsidP="004C352B" w:rsidRDefault="004C352B" w14:paraId="1682AB1C" w14:textId="77777777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</w:p>
          <w:p w:rsidRPr="006567DF" w:rsidR="00E35B78" w:rsidP="004C352B" w:rsidRDefault="00E35B78" w14:paraId="33DD986C" w14:textId="322F7459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eastAsiaTheme="majorEastAsia" w:cstheme="majorHAnsi"/>
                <w:sz w:val="20"/>
                <w:szCs w:val="20"/>
              </w:rPr>
              <w:t>Skills:</w:t>
            </w:r>
          </w:p>
          <w:p w:rsidRPr="006567DF" w:rsidR="004C352B" w:rsidP="004C352B" w:rsidRDefault="004C352B" w14:paraId="08EE75D6" w14:textId="1CF5F3E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cstheme="majorHAnsi"/>
                <w:sz w:val="20"/>
                <w:szCs w:val="20"/>
              </w:rPr>
              <w:t>Essay writing – the skill of constructing a clear and evaluative piece of academic writing</w:t>
            </w:r>
            <w:r w:rsidR="0024061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40610">
              <w:rPr>
                <w:rFonts w:asciiTheme="majorHAnsi" w:hAnsiTheme="majorHAnsi" w:cstheme="majorHAnsi"/>
                <w:sz w:val="20"/>
                <w:szCs w:val="20"/>
              </w:rPr>
              <w:t>with a consistent and well supported argument and line of judgement</w:t>
            </w:r>
            <w:r w:rsidRPr="006567DF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:rsidRPr="006567DF" w:rsidR="004C352B" w:rsidP="004C352B" w:rsidRDefault="004C352B" w14:paraId="78E511B6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cstheme="majorHAnsi"/>
                <w:sz w:val="20"/>
                <w:szCs w:val="20"/>
              </w:rPr>
              <w:t xml:space="preserve">Reading – the skill of reading with interrogation to prioritise information. </w:t>
            </w:r>
          </w:p>
          <w:p w:rsidRPr="006567DF" w:rsidR="004C352B" w:rsidP="004C352B" w:rsidRDefault="004C352B" w14:paraId="316C701A" w14:textId="793171B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cstheme="majorHAnsi"/>
                <w:sz w:val="20"/>
                <w:szCs w:val="20"/>
              </w:rPr>
              <w:t>Analysis – the skill of weighing up evidence to form a substantiated judgement.</w:t>
            </w:r>
          </w:p>
        </w:tc>
        <w:tc>
          <w:tcPr>
            <w:tcW w:w="3949" w:type="dxa"/>
            <w:vMerge w:val="restart"/>
          </w:tcPr>
          <w:p w:rsidRPr="005C05E9" w:rsidR="00425DA6" w:rsidP="005C05E9" w:rsidRDefault="00D321F4" w14:paraId="42543496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05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Year 13 Baseline Assessment</w:t>
            </w:r>
          </w:p>
          <w:p w:rsidRPr="00A8256D" w:rsidR="00D321F4" w:rsidP="00D321F4" w:rsidRDefault="00D321F4" w14:paraId="5BA67A0C" w14:textId="6C922DF4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8256D">
              <w:rPr>
                <w:rFonts w:asciiTheme="majorHAnsi" w:hAnsiTheme="majorHAnsi" w:cstheme="majorHAnsi"/>
                <w:sz w:val="20"/>
                <w:szCs w:val="20"/>
              </w:rPr>
              <w:t>1x Glorious Revolution Essay</w:t>
            </w:r>
            <w:r w:rsidRPr="00A8256D" w:rsidR="00A8256D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A8256D">
              <w:rPr>
                <w:rFonts w:asciiTheme="majorHAnsi" w:hAnsiTheme="majorHAnsi" w:cstheme="majorHAnsi"/>
                <w:sz w:val="20"/>
                <w:szCs w:val="20"/>
              </w:rPr>
              <w:t>1x Russia Source Essay</w:t>
            </w:r>
            <w:r w:rsidR="00A8256D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Pr="00A8256D">
              <w:rPr>
                <w:rFonts w:asciiTheme="majorHAnsi" w:hAnsiTheme="majorHAnsi" w:cstheme="majorHAnsi"/>
                <w:sz w:val="20"/>
                <w:szCs w:val="20"/>
              </w:rPr>
              <w:t xml:space="preserve">40 marks, </w:t>
            </w:r>
            <w:r w:rsidRPr="00A8256D" w:rsidR="005C05E9">
              <w:rPr>
                <w:rFonts w:asciiTheme="majorHAnsi" w:hAnsiTheme="majorHAnsi" w:cstheme="majorHAnsi"/>
                <w:sz w:val="20"/>
                <w:szCs w:val="20"/>
              </w:rPr>
              <w:t>90 minutes.</w:t>
            </w:r>
            <w:r w:rsidR="00F567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56764">
              <w:rPr>
                <w:rFonts w:asciiTheme="majorHAnsi" w:hAnsiTheme="majorHAnsi" w:cstheme="majorHAnsi"/>
                <w:sz w:val="20"/>
                <w:szCs w:val="20"/>
              </w:rPr>
              <w:t>Detailed feedback given then improvement of weakest essay submitted and marked.</w:t>
            </w:r>
          </w:p>
          <w:p w:rsidR="00A8256D" w:rsidP="00A8256D" w:rsidRDefault="00A8256D" w14:paraId="5C2B0C85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7267A">
              <w:rPr>
                <w:rFonts w:asciiTheme="majorHAnsi" w:hAnsiTheme="majorHAnsi" w:cstheme="majorHAnsi"/>
                <w:sz w:val="20"/>
                <w:szCs w:val="20"/>
              </w:rPr>
              <w:t>Regular knowledge tests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and low-stakes quizzes (carousel)</w:t>
            </w:r>
            <w:r w:rsidRPr="0087267A">
              <w:rPr>
                <w:rFonts w:asciiTheme="majorHAnsi" w:hAnsiTheme="majorHAnsi" w:cstheme="majorHAnsi"/>
                <w:sz w:val="20"/>
                <w:szCs w:val="20"/>
              </w:rPr>
              <w:t xml:space="preserve"> to assess understanding of key terms and concepts.</w:t>
            </w:r>
          </w:p>
          <w:p w:rsidRPr="00A8256D" w:rsidR="00A8256D" w:rsidP="00A8256D" w:rsidRDefault="00A8256D" w14:paraId="02C0CC73" w14:textId="1795780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8256D">
              <w:rPr>
                <w:rFonts w:asciiTheme="majorHAnsi" w:hAnsiTheme="majorHAnsi" w:cstheme="majorHAnsi"/>
                <w:sz w:val="20"/>
                <w:szCs w:val="20"/>
              </w:rPr>
              <w:t>Research and independent learning using books and articles to assess comprehension of issues and broaden knowledge.</w:t>
            </w:r>
          </w:p>
          <w:p w:rsidRPr="00D321F4" w:rsidR="00A8256D" w:rsidP="00D321F4" w:rsidRDefault="00A8256D" w14:paraId="598BF2FE" w14:textId="39A738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732BB2" w:rsidR="0011493F" w:rsidTr="006567DF" w14:paraId="12945117" w14:textId="77777777">
        <w:trPr>
          <w:trHeight w:val="143"/>
        </w:trPr>
        <w:tc>
          <w:tcPr>
            <w:tcW w:w="1020" w:type="dxa"/>
            <w:vMerge/>
          </w:tcPr>
          <w:p w:rsidRPr="00732BB2" w:rsidR="0011493F" w:rsidP="0011493F" w:rsidRDefault="0011493F" w14:paraId="3AC5C379" w14:textId="77777777">
            <w:pPr>
              <w:rPr>
                <w:b/>
                <w:bCs/>
              </w:rPr>
            </w:pPr>
          </w:p>
        </w:tc>
        <w:tc>
          <w:tcPr>
            <w:tcW w:w="5194" w:type="dxa"/>
          </w:tcPr>
          <w:p w:rsidRPr="006567DF" w:rsidR="0011493F" w:rsidP="00B828C2" w:rsidRDefault="00E44461" w14:paraId="2A563E52" w14:textId="51EB2D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Introduction to </w:t>
            </w:r>
            <w:r w:rsidRPr="006567DF" w:rsidR="00DD21C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Poverty, Public </w:t>
            </w:r>
            <w:proofErr w:type="gramStart"/>
            <w:r w:rsidRPr="006567DF" w:rsidR="00DD21C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health</w:t>
            </w:r>
            <w:proofErr w:type="gramEnd"/>
            <w:r w:rsidRPr="006567DF" w:rsidR="00DD21C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and the State in Britain, 1780-1939</w:t>
            </w:r>
            <w:r w:rsidRPr="006567DF" w:rsidR="00DD21C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Pr="006567DF" w:rsidR="00DD21CA" w:rsidP="00B828C2" w:rsidRDefault="00DD21CA" w14:paraId="12E86CF8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6567DF" w:rsidR="00585CEC" w:rsidP="00B828C2" w:rsidRDefault="00DD21CA" w14:paraId="089DE34A" w14:textId="4C5EE13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567D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3.1 The impetus for public health reforms</w:t>
            </w:r>
          </w:p>
          <w:p w:rsidRPr="006567DF" w:rsidR="0037456A" w:rsidP="003D6DEE" w:rsidRDefault="0037456A" w14:paraId="5B54A1AA" w14:textId="650C5D87">
            <w:pPr>
              <w:pStyle w:val="Tabletextbullets"/>
              <w:numPr>
                <w:ilvl w:val="0"/>
                <w:numId w:val="7"/>
              </w:numPr>
              <w:spacing w:before="0" w:after="0"/>
              <w:rPr>
                <w:rFonts w:asciiTheme="majorHAnsi" w:hAnsiTheme="majorHAnsi" w:cstheme="majorHAnsi"/>
                <w:szCs w:val="20"/>
              </w:rPr>
            </w:pPr>
            <w:r w:rsidRPr="006567DF">
              <w:rPr>
                <w:rFonts w:asciiTheme="majorHAnsi" w:hAnsiTheme="majorHAnsi" w:cstheme="majorHAnsi"/>
                <w:szCs w:val="20"/>
              </w:rPr>
              <w:t>Problems of public health caused by industrialisation.</w:t>
            </w:r>
          </w:p>
          <w:p w:rsidRPr="006567DF" w:rsidR="00585CEC" w:rsidP="003D6DEE" w:rsidRDefault="0037456A" w14:paraId="5F9E8B92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cstheme="majorHAnsi"/>
                <w:sz w:val="20"/>
                <w:szCs w:val="20"/>
              </w:rPr>
              <w:t>Impact of epidemics and reports on the state of towns and of increasing understanding about causes of disease</w:t>
            </w:r>
            <w:r w:rsidRPr="006567DF" w:rsidR="00395AF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Pr="006567DF" w:rsidR="00395AFE" w:rsidP="003D6DEE" w:rsidRDefault="00395AFE" w14:paraId="605D50F4" w14:textId="77777777">
            <w:pPr>
              <w:pStyle w:val="Tabletextbullets"/>
              <w:numPr>
                <w:ilvl w:val="0"/>
                <w:numId w:val="7"/>
              </w:numPr>
              <w:spacing w:before="0" w:after="0"/>
              <w:rPr>
                <w:rFonts w:asciiTheme="majorHAnsi" w:hAnsiTheme="majorHAnsi" w:cstheme="majorHAnsi"/>
                <w:szCs w:val="20"/>
              </w:rPr>
            </w:pPr>
            <w:r w:rsidRPr="006567DF">
              <w:rPr>
                <w:rFonts w:asciiTheme="majorHAnsi" w:hAnsiTheme="majorHAnsi" w:cstheme="majorHAnsi"/>
                <w:szCs w:val="20"/>
              </w:rPr>
              <w:t>the significance of advances in technology for improvements in the provision of systems for drainage and water supply.</w:t>
            </w:r>
          </w:p>
          <w:p w:rsidRPr="006567DF" w:rsidR="00057215" w:rsidP="003D6DEE" w:rsidRDefault="00395AFE" w14:paraId="17C62959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cstheme="majorHAnsi"/>
                <w:sz w:val="20"/>
                <w:szCs w:val="20"/>
              </w:rPr>
              <w:t>Changes in the attitude of public, press and Parliament to public health issues, c1780–1939, and the reasons for them.</w:t>
            </w:r>
          </w:p>
          <w:p w:rsidRPr="006567DF" w:rsidR="00057215" w:rsidP="003D6DEE" w:rsidRDefault="00057215" w14:paraId="68C85488" w14:textId="7A89E94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cstheme="majorHAnsi"/>
                <w:sz w:val="20"/>
                <w:szCs w:val="20"/>
              </w:rPr>
              <w:t>The growth of the government’s role in the nineteenth and early twentieth century.</w:t>
            </w:r>
          </w:p>
          <w:p w:rsidRPr="006567DF" w:rsidR="001C1751" w:rsidP="00B828C2" w:rsidRDefault="001C1751" w14:paraId="0DBFE59A" w14:textId="77777777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6567DF" w:rsidR="001C1751" w:rsidP="00B828C2" w:rsidRDefault="00057215" w14:paraId="57BFE1CC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567D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  <w:r w:rsidRPr="006567DF" w:rsidR="001C17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.2 Changes in public health provision.</w:t>
            </w:r>
          </w:p>
          <w:p w:rsidRPr="006567DF" w:rsidR="005C3A93" w:rsidP="003D6DEE" w:rsidRDefault="005C3A93" w14:paraId="0BEA7160" w14:textId="7777777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cstheme="majorHAnsi"/>
                <w:sz w:val="20"/>
                <w:szCs w:val="20"/>
              </w:rPr>
              <w:t xml:space="preserve">Vaccinations, improvements in drainage and sewerage, improvements </w:t>
            </w:r>
            <w:r w:rsidRPr="006567DF" w:rsidR="00981200">
              <w:rPr>
                <w:rFonts w:asciiTheme="majorHAnsi" w:hAnsiTheme="majorHAnsi" w:cstheme="majorHAnsi"/>
                <w:sz w:val="20"/>
                <w:szCs w:val="20"/>
              </w:rPr>
              <w:t>in water supply.</w:t>
            </w:r>
          </w:p>
          <w:p w:rsidRPr="006567DF" w:rsidR="00981200" w:rsidP="003D6DEE" w:rsidRDefault="00981200" w14:paraId="5B78FCF8" w14:textId="7777777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cstheme="majorHAnsi"/>
                <w:sz w:val="20"/>
                <w:szCs w:val="20"/>
              </w:rPr>
              <w:t xml:space="preserve">The work of medical officers of health, provision of TB sanatoria and measure to improve the health of children </w:t>
            </w:r>
            <w:r w:rsidRPr="006567DF" w:rsidR="003533EC">
              <w:rPr>
                <w:rFonts w:asciiTheme="majorHAnsi" w:hAnsiTheme="majorHAnsi" w:cstheme="majorHAnsi"/>
                <w:sz w:val="20"/>
                <w:szCs w:val="20"/>
              </w:rPr>
              <w:t>[Public Health Acts of 1848, 1858 and 1875, Liberal government reforms 1906-08].</w:t>
            </w:r>
          </w:p>
          <w:p w:rsidRPr="006567DF" w:rsidR="003533EC" w:rsidP="003D6DEE" w:rsidRDefault="003533EC" w14:paraId="4FE8D591" w14:textId="4D454D5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cstheme="majorHAnsi"/>
                <w:sz w:val="20"/>
                <w:szCs w:val="20"/>
              </w:rPr>
              <w:t xml:space="preserve">Impact of the work of individuals- Edward Jenner, Edwin Chadwick, John Snow, Joseph </w:t>
            </w:r>
            <w:proofErr w:type="spellStart"/>
            <w:r w:rsidRPr="006567DF">
              <w:rPr>
                <w:rFonts w:asciiTheme="majorHAnsi" w:hAnsiTheme="majorHAnsi" w:cstheme="majorHAnsi"/>
                <w:sz w:val="20"/>
                <w:szCs w:val="20"/>
              </w:rPr>
              <w:t>Bazalgette</w:t>
            </w:r>
            <w:proofErr w:type="spellEnd"/>
            <w:r w:rsidRPr="006567DF">
              <w:rPr>
                <w:rFonts w:asciiTheme="majorHAnsi" w:hAnsiTheme="majorHAnsi" w:cstheme="majorHAnsi"/>
                <w:sz w:val="20"/>
                <w:szCs w:val="20"/>
              </w:rPr>
              <w:t xml:space="preserve"> and Marie Stopes.</w:t>
            </w:r>
          </w:p>
        </w:tc>
        <w:tc>
          <w:tcPr>
            <w:tcW w:w="5441" w:type="dxa"/>
            <w:vMerge/>
          </w:tcPr>
          <w:p w:rsidRPr="006567DF" w:rsidR="0011493F" w:rsidP="0011493F" w:rsidRDefault="0011493F" w14:paraId="325608FF" w14:textId="7777777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49" w:type="dxa"/>
            <w:vMerge/>
          </w:tcPr>
          <w:p w:rsidRPr="00273D93" w:rsidR="0011493F" w:rsidP="0011493F" w:rsidRDefault="0011493F" w14:paraId="29A3F900" w14:textId="7777777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732BB2" w:rsidR="0011493F" w:rsidTr="006567DF" w14:paraId="1BEE0139" w14:textId="77777777">
        <w:trPr>
          <w:trHeight w:val="536"/>
        </w:trPr>
        <w:tc>
          <w:tcPr>
            <w:tcW w:w="1020" w:type="dxa"/>
            <w:vMerge w:val="restart"/>
            <w:shd w:val="clear" w:color="auto" w:fill="FFF2CC" w:themeFill="accent4" w:themeFillTint="33"/>
          </w:tcPr>
          <w:p w:rsidRPr="00732BB2" w:rsidR="0011493F" w:rsidP="0011493F" w:rsidRDefault="0011493F" w14:paraId="5EF79BE5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lastRenderedPageBreak/>
              <w:t>Autumn Term</w:t>
            </w:r>
          </w:p>
          <w:p w:rsidRPr="00732BB2" w:rsidR="0011493F" w:rsidP="0011493F" w:rsidRDefault="0011493F" w14:paraId="5C249767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1B</w:t>
            </w:r>
          </w:p>
          <w:p w:rsidRPr="00732BB2" w:rsidR="0011493F" w:rsidP="0011493F" w:rsidRDefault="0011493F" w14:paraId="02D123E3" w14:textId="467DAD6C">
            <w:pPr>
              <w:rPr>
                <w:b/>
                <w:bCs/>
              </w:rPr>
            </w:pPr>
          </w:p>
        </w:tc>
        <w:tc>
          <w:tcPr>
            <w:tcW w:w="5194" w:type="dxa"/>
          </w:tcPr>
          <w:p w:rsidRPr="00273D93" w:rsidR="0011493F" w:rsidP="0011493F" w:rsidRDefault="0011493F" w14:paraId="2C5A6A4C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273D93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Intent </w:t>
            </w:r>
          </w:p>
          <w:p w:rsidRPr="00273D93" w:rsidR="0011493F" w:rsidP="0011493F" w:rsidRDefault="0011493F" w14:paraId="23ACAD3F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>Why is this taught now?</w:t>
            </w:r>
          </w:p>
        </w:tc>
        <w:tc>
          <w:tcPr>
            <w:tcW w:w="5441" w:type="dxa"/>
            <w:vMerge w:val="restart"/>
          </w:tcPr>
          <w:p w:rsidRPr="006567DF" w:rsidR="006567DF" w:rsidP="006567DF" w:rsidRDefault="006567DF" w14:paraId="6A699E3F" w14:textId="77777777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eastAsiaTheme="majorEastAsia" w:cstheme="majorHAnsi"/>
                <w:sz w:val="20"/>
                <w:szCs w:val="20"/>
              </w:rPr>
              <w:t>Key concepts:</w:t>
            </w:r>
          </w:p>
          <w:p w:rsidRPr="006567DF" w:rsidR="006567DF" w:rsidP="006567DF" w:rsidRDefault="006567DF" w14:paraId="70E8BCF0" w14:textId="3BD5A0D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cstheme="majorHAnsi"/>
                <w:sz w:val="20"/>
                <w:szCs w:val="20"/>
              </w:rPr>
              <w:t xml:space="preserve">Change and continuity: The </w:t>
            </w:r>
            <w:r w:rsidR="00DC79BD">
              <w:rPr>
                <w:rFonts w:asciiTheme="majorHAnsi" w:hAnsiTheme="majorHAnsi" w:cstheme="majorHAnsi"/>
                <w:sz w:val="20"/>
                <w:szCs w:val="20"/>
              </w:rPr>
              <w:t xml:space="preserve">changing role of the government, more active involvement in the welfare of its citizens and centralising poor </w:t>
            </w:r>
            <w:r w:rsidR="00736FB8">
              <w:rPr>
                <w:rFonts w:asciiTheme="majorHAnsi" w:hAnsiTheme="majorHAnsi" w:cstheme="majorHAnsi"/>
                <w:sz w:val="20"/>
                <w:szCs w:val="20"/>
              </w:rPr>
              <w:t>relief.</w:t>
            </w:r>
            <w:r w:rsidRPr="006567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Pr="006567DF" w:rsidR="006567DF" w:rsidP="006567DF" w:rsidRDefault="006567DF" w14:paraId="2BA52C2A" w14:textId="688BA7A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cstheme="majorHAnsi"/>
                <w:sz w:val="20"/>
                <w:szCs w:val="20"/>
              </w:rPr>
              <w:t xml:space="preserve">Similarity and Difference: A comparison between the </w:t>
            </w:r>
            <w:r w:rsidR="00DC79BD">
              <w:rPr>
                <w:rFonts w:asciiTheme="majorHAnsi" w:hAnsiTheme="majorHAnsi" w:cstheme="majorHAnsi"/>
                <w:sz w:val="20"/>
                <w:szCs w:val="20"/>
              </w:rPr>
              <w:t xml:space="preserve">respective </w:t>
            </w:r>
            <w:r w:rsidR="007E7A4A">
              <w:rPr>
                <w:rFonts w:asciiTheme="majorHAnsi" w:hAnsiTheme="majorHAnsi" w:cstheme="majorHAnsi"/>
                <w:sz w:val="20"/>
                <w:szCs w:val="20"/>
              </w:rPr>
              <w:t xml:space="preserve">local parish-based relief system, </w:t>
            </w:r>
            <w:r w:rsidR="00736FB8">
              <w:rPr>
                <w:rFonts w:asciiTheme="majorHAnsi" w:hAnsiTheme="majorHAnsi" w:cstheme="majorHAnsi"/>
                <w:sz w:val="20"/>
                <w:szCs w:val="20"/>
              </w:rPr>
              <w:t>e.g.,</w:t>
            </w:r>
            <w:r w:rsidR="007E7A4A">
              <w:rPr>
                <w:rFonts w:asciiTheme="majorHAnsi" w:hAnsiTheme="majorHAnsi" w:cstheme="majorHAnsi"/>
                <w:sz w:val="20"/>
                <w:szCs w:val="20"/>
              </w:rPr>
              <w:t xml:space="preserve"> the effectiveness of outdoor vs indoor relief</w:t>
            </w:r>
            <w:r w:rsidRPr="006567D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Pr="006567DF" w:rsidR="006567DF" w:rsidP="006567DF" w:rsidRDefault="006567DF" w14:paraId="7A9C0D2A" w14:textId="7B4B817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cstheme="majorHAnsi"/>
                <w:sz w:val="20"/>
                <w:szCs w:val="20"/>
              </w:rPr>
              <w:t>Significance: How significant different factors, individuals or events are in driving change</w:t>
            </w:r>
            <w:r w:rsidR="007E7A4A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736FB8">
              <w:rPr>
                <w:rFonts w:asciiTheme="majorHAnsi" w:hAnsiTheme="majorHAnsi" w:cstheme="majorHAnsi"/>
                <w:sz w:val="20"/>
                <w:szCs w:val="20"/>
              </w:rPr>
              <w:t>e.g.,</w:t>
            </w:r>
            <w:r w:rsidR="007E7A4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36FB8">
              <w:rPr>
                <w:rFonts w:asciiTheme="majorHAnsi" w:hAnsiTheme="majorHAnsi" w:cstheme="majorHAnsi"/>
                <w:sz w:val="20"/>
                <w:szCs w:val="20"/>
              </w:rPr>
              <w:t xml:space="preserve">Assessing what was the most significant </w:t>
            </w:r>
            <w:r w:rsidR="007E7A4A">
              <w:rPr>
                <w:rFonts w:asciiTheme="majorHAnsi" w:hAnsiTheme="majorHAnsi" w:cstheme="majorHAnsi"/>
                <w:sz w:val="20"/>
                <w:szCs w:val="20"/>
              </w:rPr>
              <w:t xml:space="preserve">pressure for change </w:t>
            </w:r>
            <w:r w:rsidR="00736FB8">
              <w:rPr>
                <w:rFonts w:asciiTheme="majorHAnsi" w:hAnsiTheme="majorHAnsi" w:cstheme="majorHAnsi"/>
                <w:sz w:val="20"/>
                <w:szCs w:val="20"/>
              </w:rPr>
              <w:t xml:space="preserve">in </w:t>
            </w:r>
            <w:r w:rsidR="007E7A4A">
              <w:rPr>
                <w:rFonts w:asciiTheme="majorHAnsi" w:hAnsiTheme="majorHAnsi" w:cstheme="majorHAnsi"/>
                <w:sz w:val="20"/>
                <w:szCs w:val="20"/>
              </w:rPr>
              <w:t>1832</w:t>
            </w:r>
            <w:r w:rsidR="00736FB8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:rsidRPr="006567DF" w:rsidR="006567DF" w:rsidP="006567DF" w:rsidRDefault="006567DF" w14:paraId="4FB1F027" w14:textId="59FC214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6567DF">
              <w:rPr>
                <w:rFonts w:asciiTheme="majorHAnsi" w:hAnsiTheme="majorHAnsi" w:cstheme="majorHAnsi"/>
                <w:sz w:val="20"/>
                <w:szCs w:val="20"/>
              </w:rPr>
              <w:t xml:space="preserve">Chronology: A clear understanding of the order of events that led to </w:t>
            </w:r>
            <w:r w:rsidR="00736FB8">
              <w:rPr>
                <w:rFonts w:asciiTheme="majorHAnsi" w:hAnsiTheme="majorHAnsi" w:cstheme="majorHAnsi"/>
                <w:sz w:val="20"/>
                <w:szCs w:val="20"/>
              </w:rPr>
              <w:t>changes in the administration of public health provision, what changes took place and their impact.</w:t>
            </w:r>
          </w:p>
          <w:p w:rsidRPr="006567DF" w:rsidR="006567DF" w:rsidP="006567DF" w:rsidRDefault="006567DF" w14:paraId="7856F795" w14:textId="77777777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</w:p>
          <w:p w:rsidRPr="00212558" w:rsidR="006567DF" w:rsidP="006567DF" w:rsidRDefault="006567DF" w14:paraId="3B651327" w14:textId="77777777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eastAsiaTheme="majorEastAsia" w:cstheme="majorHAnsi"/>
                <w:sz w:val="20"/>
                <w:szCs w:val="20"/>
              </w:rPr>
              <w:t>Skills:</w:t>
            </w:r>
          </w:p>
          <w:p w:rsidRPr="00212558" w:rsidR="006567DF" w:rsidP="006567DF" w:rsidRDefault="006567DF" w14:paraId="2F9C9B1B" w14:textId="1B077B8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>Essay writing – the skill of constructing a clear and evaluative piece of academic writing</w:t>
            </w:r>
            <w:r w:rsidR="00240610">
              <w:rPr>
                <w:rFonts w:asciiTheme="majorHAnsi" w:hAnsiTheme="majorHAnsi" w:cstheme="majorHAnsi"/>
                <w:sz w:val="20"/>
                <w:szCs w:val="20"/>
              </w:rPr>
              <w:t xml:space="preserve"> with a consistent and well supported argument and line of judgement</w:t>
            </w: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:rsidRPr="00212558" w:rsidR="00212558" w:rsidP="006567DF" w:rsidRDefault="00212558" w14:paraId="6E4E78A9" w14:textId="64920B9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>Source interrogation – the skill of analysing primary sources to ascertain their value to an historian based on content and provenance.</w:t>
            </w:r>
          </w:p>
          <w:p w:rsidRPr="00212558" w:rsidR="006567DF" w:rsidP="006567DF" w:rsidRDefault="006567DF" w14:paraId="3FCD4724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 xml:space="preserve">Reading – the skill of reading with interrogation to prioritise information. </w:t>
            </w:r>
          </w:p>
          <w:p w:rsidRPr="006567DF" w:rsidR="0011493F" w:rsidP="006567DF" w:rsidRDefault="006567DF" w14:paraId="4AE8AC02" w14:textId="08C9C66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212558">
              <w:rPr>
                <w:rFonts w:asciiTheme="majorHAnsi" w:hAnsiTheme="majorHAnsi" w:cstheme="majorHAnsi"/>
                <w:sz w:val="20"/>
                <w:szCs w:val="20"/>
              </w:rPr>
              <w:t>Analysis – the skill of weighing up evidence to form a substantiated judgement.</w:t>
            </w:r>
          </w:p>
        </w:tc>
        <w:tc>
          <w:tcPr>
            <w:tcW w:w="3949" w:type="dxa"/>
            <w:vMerge w:val="restart"/>
          </w:tcPr>
          <w:p w:rsidRPr="0087267A" w:rsidR="00425DA6" w:rsidP="0087267A" w:rsidRDefault="00425DA6" w14:paraId="7EAFFBF7" w14:textId="55088B6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7267A">
              <w:rPr>
                <w:rFonts w:asciiTheme="majorHAnsi" w:hAnsiTheme="majorHAnsi" w:cstheme="majorHAnsi"/>
                <w:sz w:val="20"/>
                <w:szCs w:val="20"/>
              </w:rPr>
              <w:t>Regular knowledge tests</w:t>
            </w:r>
            <w:r w:rsidR="0087267A">
              <w:rPr>
                <w:rFonts w:asciiTheme="majorHAnsi" w:hAnsiTheme="majorHAnsi" w:cstheme="majorHAnsi"/>
                <w:sz w:val="20"/>
                <w:szCs w:val="20"/>
              </w:rPr>
              <w:t xml:space="preserve"> and low-stakes quizzes (carousel)</w:t>
            </w:r>
            <w:r w:rsidRPr="0087267A">
              <w:rPr>
                <w:rFonts w:asciiTheme="majorHAnsi" w:hAnsiTheme="majorHAnsi" w:cstheme="majorHAnsi"/>
                <w:sz w:val="20"/>
                <w:szCs w:val="20"/>
              </w:rPr>
              <w:t xml:space="preserve"> to assess understanding of key terms and </w:t>
            </w:r>
            <w:r w:rsidRPr="0087267A" w:rsidR="0087267A">
              <w:rPr>
                <w:rFonts w:asciiTheme="majorHAnsi" w:hAnsiTheme="majorHAnsi" w:cstheme="majorHAnsi"/>
                <w:sz w:val="20"/>
                <w:szCs w:val="20"/>
              </w:rPr>
              <w:t>concepts.</w:t>
            </w:r>
          </w:p>
          <w:p w:rsidR="0087267A" w:rsidP="0087267A" w:rsidRDefault="00204F17" w14:paraId="0B6B0EFE" w14:textId="5A4651B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 xml:space="preserve">One timed Exam style essay </w:t>
            </w:r>
            <w:r w:rsidR="0087267A">
              <w:rPr>
                <w:rFonts w:asciiTheme="majorHAnsi" w:hAnsiTheme="majorHAnsi" w:cstheme="majorHAnsi"/>
                <w:sz w:val="20"/>
                <w:szCs w:val="20"/>
              </w:rPr>
              <w:t>on the Section C- breadth aspect of the paper- 20 marks, 45 minutes.</w:t>
            </w:r>
            <w:r w:rsidR="00F56764">
              <w:rPr>
                <w:rFonts w:asciiTheme="majorHAnsi" w:hAnsiTheme="majorHAnsi" w:cstheme="majorHAnsi"/>
                <w:sz w:val="20"/>
                <w:szCs w:val="20"/>
              </w:rPr>
              <w:t xml:space="preserve"> Detailed feedback given then improvement of weakest essay submitted and marked.</w:t>
            </w:r>
          </w:p>
          <w:p w:rsidRPr="00273D93" w:rsidR="00B87DFF" w:rsidP="0087267A" w:rsidRDefault="00425DA6" w14:paraId="4DDC6A7C" w14:textId="0D7CE50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>Research and independent learning using books and articles to assess comprehension of issues and broaden knowledge.</w:t>
            </w:r>
          </w:p>
        </w:tc>
      </w:tr>
      <w:tr w:rsidRPr="00732BB2" w:rsidR="0011493F" w:rsidTr="006567DF" w14:paraId="79EF6480" w14:textId="77777777">
        <w:trPr>
          <w:trHeight w:val="143"/>
        </w:trPr>
        <w:tc>
          <w:tcPr>
            <w:tcW w:w="1020" w:type="dxa"/>
            <w:vMerge/>
          </w:tcPr>
          <w:p w:rsidRPr="00732BB2" w:rsidR="0011493F" w:rsidP="0011493F" w:rsidRDefault="0011493F" w14:paraId="14B1A9F2" w14:textId="77777777">
            <w:pPr>
              <w:rPr>
                <w:b/>
                <w:bCs/>
              </w:rPr>
            </w:pPr>
          </w:p>
        </w:tc>
        <w:tc>
          <w:tcPr>
            <w:tcW w:w="5194" w:type="dxa"/>
          </w:tcPr>
          <w:p w:rsidRPr="00273D93" w:rsidR="00A840A4" w:rsidP="00A840A4" w:rsidRDefault="00A840A4" w14:paraId="38A21F27" w14:textId="5EBCBD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3.3</w:t>
            </w:r>
            <w:r w:rsidRPr="00273D93" w:rsidR="006E73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Paupers and Pauperism, 1780-183</w:t>
            </w:r>
            <w:r w:rsidRPr="00273D93" w:rsidR="00D504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  <w:p w:rsidRPr="00273D93" w:rsidR="006E73AF" w:rsidP="003D6DEE" w:rsidRDefault="000F35CF" w14:paraId="01D2AF7F" w14:textId="566BF1A4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>The organisation of the parish-based relief system; the problem of the ‘able-bodied pauper’; outdoor relief systems – Speenhamland, Roundsman and the Labour rate.</w:t>
            </w:r>
          </w:p>
          <w:p w:rsidRPr="00273D93" w:rsidR="000F35CF" w:rsidP="003D6DEE" w:rsidRDefault="002A2AF1" w14:paraId="634B2D1D" w14:textId="28B32BB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 xml:space="preserve">Indoor relief in poorhouses, </w:t>
            </w:r>
            <w:r w:rsidRPr="00273D93" w:rsidR="00DC137B">
              <w:rPr>
                <w:rFonts w:asciiTheme="majorHAnsi" w:hAnsiTheme="majorHAnsi" w:cstheme="majorHAnsi"/>
                <w:sz w:val="20"/>
                <w:szCs w:val="20"/>
              </w:rPr>
              <w:t>workhouses,</w:t>
            </w: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 xml:space="preserve"> and houses of correction; the impact of Gilbert’s Act 1782 and the Sturges-</w:t>
            </w:r>
            <w:proofErr w:type="spellStart"/>
            <w:r w:rsidRPr="00273D93">
              <w:rPr>
                <w:rFonts w:asciiTheme="majorHAnsi" w:hAnsiTheme="majorHAnsi" w:cstheme="majorHAnsi"/>
                <w:sz w:val="20"/>
                <w:szCs w:val="20"/>
              </w:rPr>
              <w:t>Bourne</w:t>
            </w:r>
            <w:proofErr w:type="spellEnd"/>
            <w:r w:rsidRPr="00273D93">
              <w:rPr>
                <w:rFonts w:asciiTheme="majorHAnsi" w:hAnsiTheme="majorHAnsi" w:cstheme="majorHAnsi"/>
                <w:sz w:val="20"/>
                <w:szCs w:val="20"/>
              </w:rPr>
              <w:t xml:space="preserve"> Act 1819.</w:t>
            </w:r>
          </w:p>
          <w:p w:rsidRPr="00273D93" w:rsidR="00DC137B" w:rsidP="003D6DEE" w:rsidRDefault="00DC137B" w14:paraId="11A3FBD7" w14:textId="37DF3BF2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>The pressures for change- financial and ideological arguments; the influence of Bentham’s Utilitarianism.</w:t>
            </w:r>
          </w:p>
          <w:p w:rsidRPr="00273D93" w:rsidR="00DC137B" w:rsidP="00DC137B" w:rsidRDefault="00DC137B" w14:paraId="41DB1FDC" w14:textId="77777777">
            <w:pPr>
              <w:pStyle w:val="ListParagraph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273D93" w:rsidR="006E73AF" w:rsidP="00A840A4" w:rsidRDefault="006E73AF" w14:paraId="6458C7C9" w14:textId="0AC11E3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3.4 Less Eligibility</w:t>
            </w:r>
            <w:r w:rsidRPr="00273D93" w:rsidR="00A525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</w:t>
            </w:r>
            <w:proofErr w:type="gramStart"/>
            <w:r w:rsidRPr="00273D93" w:rsidR="00A525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</w:t>
            </w:r>
            <w:proofErr w:type="gramEnd"/>
            <w:r w:rsidRPr="00273D93" w:rsidR="00A5257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Poor Law Amendment Act and its impact, </w:t>
            </w:r>
            <w:r w:rsidRPr="00273D9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1832-1847</w:t>
            </w:r>
          </w:p>
          <w:p w:rsidRPr="00273D93" w:rsidR="00DC66FF" w:rsidP="003D6DEE" w:rsidRDefault="00DC66FF" w14:paraId="41F9AE38" w14:textId="4F84E0F9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 xml:space="preserve">Reforming the poor Law: </w:t>
            </w:r>
            <w:r w:rsidRPr="00273D93" w:rsidR="00F32626">
              <w:rPr>
                <w:rFonts w:asciiTheme="majorHAnsi" w:hAnsiTheme="majorHAnsi" w:cstheme="majorHAnsi"/>
                <w:sz w:val="20"/>
                <w:szCs w:val="20"/>
              </w:rPr>
              <w:t>The</w:t>
            </w: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 xml:space="preserve"> Royal Commission of Enquiry; aims of the Poor Law policy; the Poor Law Amendment Act 18</w:t>
            </w:r>
            <w:r w:rsidRPr="00273D93" w:rsidR="00F32626">
              <w:rPr>
                <w:rFonts w:asciiTheme="majorHAnsi" w:hAnsiTheme="majorHAnsi" w:cstheme="majorHAnsi"/>
                <w:sz w:val="20"/>
                <w:szCs w:val="20"/>
              </w:rPr>
              <w:t>34; work of the Poor Law Commission; role of Edwin Chadwick.</w:t>
            </w:r>
          </w:p>
          <w:p w:rsidRPr="00273D93" w:rsidR="00F32626" w:rsidP="003D6DEE" w:rsidRDefault="00F32626" w14:paraId="410B92DB" w14:textId="4F92467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>The impact of the workhouse: The workhouse test and less eligibility; the workhouse regime and the continuation of outdoor relief.</w:t>
            </w:r>
          </w:p>
          <w:p w:rsidRPr="00273D93" w:rsidR="00DC137B" w:rsidP="003D6DEE" w:rsidRDefault="00F32626" w14:paraId="7ED17244" w14:textId="0647AC88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 xml:space="preserve">The nature of opposition to the operation of the new Poor Law, the roles of </w:t>
            </w:r>
            <w:proofErr w:type="spellStart"/>
            <w:r w:rsidRPr="00273D93">
              <w:rPr>
                <w:rFonts w:asciiTheme="majorHAnsi" w:hAnsiTheme="majorHAnsi" w:cstheme="majorHAnsi"/>
                <w:sz w:val="20"/>
                <w:szCs w:val="20"/>
              </w:rPr>
              <w:t>Oastler</w:t>
            </w:r>
            <w:proofErr w:type="spellEnd"/>
            <w:r w:rsidRPr="00273D93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proofErr w:type="spellStart"/>
            <w:r w:rsidRPr="00273D93">
              <w:rPr>
                <w:rFonts w:asciiTheme="majorHAnsi" w:hAnsiTheme="majorHAnsi" w:cstheme="majorHAnsi"/>
                <w:sz w:val="20"/>
                <w:szCs w:val="20"/>
              </w:rPr>
              <w:t>Fielden</w:t>
            </w:r>
            <w:proofErr w:type="spellEnd"/>
            <w:r w:rsidRPr="00273D93">
              <w:rPr>
                <w:rFonts w:asciiTheme="majorHAnsi" w:hAnsiTheme="majorHAnsi" w:cstheme="majorHAnsi"/>
                <w:sz w:val="20"/>
                <w:szCs w:val="20"/>
              </w:rPr>
              <w:t>; the significant of the Anti-Poor Law movement.</w:t>
            </w:r>
          </w:p>
        </w:tc>
        <w:tc>
          <w:tcPr>
            <w:tcW w:w="5441" w:type="dxa"/>
            <w:vMerge/>
          </w:tcPr>
          <w:p w:rsidRPr="00273D93" w:rsidR="0011493F" w:rsidP="0011493F" w:rsidRDefault="0011493F" w14:paraId="4419943D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49" w:type="dxa"/>
            <w:vMerge/>
          </w:tcPr>
          <w:p w:rsidRPr="00273D93" w:rsidR="0011493F" w:rsidP="0011493F" w:rsidRDefault="0011493F" w14:paraId="2458B39D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732BB2" w:rsidR="0011493F" w:rsidTr="006567DF" w14:paraId="539EEDEC" w14:textId="77777777">
        <w:trPr>
          <w:trHeight w:val="521"/>
        </w:trPr>
        <w:tc>
          <w:tcPr>
            <w:tcW w:w="1020" w:type="dxa"/>
            <w:vMerge w:val="restart"/>
            <w:shd w:val="clear" w:color="auto" w:fill="FFE599" w:themeFill="accent4" w:themeFillTint="66"/>
          </w:tcPr>
          <w:p w:rsidRPr="00732BB2" w:rsidR="0011493F" w:rsidP="0011493F" w:rsidRDefault="0011493F" w14:paraId="6FEF73DD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Spring Term</w:t>
            </w:r>
          </w:p>
          <w:p w:rsidRPr="00732BB2" w:rsidR="0011493F" w:rsidP="0011493F" w:rsidRDefault="0011493F" w14:paraId="503CDEBE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2A</w:t>
            </w:r>
          </w:p>
          <w:p w:rsidRPr="00732BB2" w:rsidR="0011493F" w:rsidP="00E44461" w:rsidRDefault="0011493F" w14:paraId="4A3A09CC" w14:textId="1DA2B19B">
            <w:pPr>
              <w:rPr>
                <w:b/>
                <w:bCs/>
              </w:rPr>
            </w:pPr>
          </w:p>
        </w:tc>
        <w:tc>
          <w:tcPr>
            <w:tcW w:w="5194" w:type="dxa"/>
          </w:tcPr>
          <w:p w:rsidRPr="001F2800" w:rsidR="0011493F" w:rsidP="0011493F" w:rsidRDefault="0011493F" w14:paraId="2F96AABB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1F2800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Intent </w:t>
            </w:r>
          </w:p>
          <w:p w:rsidRPr="001F2800" w:rsidR="0011493F" w:rsidP="0011493F" w:rsidRDefault="0011493F" w14:paraId="422096AF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>Why is this taught now?</w:t>
            </w:r>
          </w:p>
        </w:tc>
        <w:tc>
          <w:tcPr>
            <w:tcW w:w="5441" w:type="dxa"/>
            <w:vMerge w:val="restart"/>
          </w:tcPr>
          <w:p w:rsidRPr="001F2800" w:rsidR="00240610" w:rsidP="00240610" w:rsidRDefault="00240610" w14:paraId="6F3B9F7A" w14:textId="77777777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1F2800">
              <w:rPr>
                <w:rFonts w:asciiTheme="majorHAnsi" w:hAnsiTheme="majorHAnsi" w:eastAsiaTheme="majorEastAsia" w:cstheme="majorHAnsi"/>
                <w:sz w:val="20"/>
                <w:szCs w:val="20"/>
              </w:rPr>
              <w:t>Key concepts:</w:t>
            </w:r>
          </w:p>
          <w:p w:rsidRPr="001F2800" w:rsidR="00240610" w:rsidP="00240610" w:rsidRDefault="00240610" w14:paraId="5D6205FA" w14:textId="00C31A8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>Change and continuity: The changing role of the government, more active involvement in the welfare of its citizens and centralising poor relief</w:t>
            </w:r>
            <w:r w:rsidRPr="001F2800" w:rsidR="007366E1">
              <w:rPr>
                <w:rFonts w:asciiTheme="majorHAnsi" w:hAnsiTheme="majorHAnsi" w:cstheme="majorHAnsi"/>
                <w:sz w:val="20"/>
                <w:szCs w:val="20"/>
              </w:rPr>
              <w:t xml:space="preserve"> alongside the increasing role of charities etc.</w:t>
            </w:r>
          </w:p>
          <w:p w:rsidRPr="001F2800" w:rsidR="00240610" w:rsidP="00240610" w:rsidRDefault="00240610" w14:paraId="148C2F00" w14:textId="0D96CCA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 xml:space="preserve">Similarity and Difference: A comparison between the </w:t>
            </w:r>
            <w:r w:rsidRPr="001F2800" w:rsidR="00751724">
              <w:rPr>
                <w:rFonts w:asciiTheme="majorHAnsi" w:hAnsiTheme="majorHAnsi" w:cstheme="majorHAnsi"/>
                <w:sz w:val="20"/>
                <w:szCs w:val="20"/>
              </w:rPr>
              <w:t>treatment of the poor under the Poor Law Board and the Local Government Board, catering for specialised care.</w:t>
            </w:r>
          </w:p>
          <w:p w:rsidRPr="001F2800" w:rsidR="00240610" w:rsidP="00240610" w:rsidRDefault="00240610" w14:paraId="60F3CB0B" w14:textId="53F592E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>Significance: How significant different factors, individuals or events a</w:t>
            </w:r>
            <w:r w:rsidRPr="001F2800" w:rsidR="00893E88">
              <w:rPr>
                <w:rFonts w:asciiTheme="majorHAnsi" w:hAnsiTheme="majorHAnsi" w:cstheme="majorHAnsi"/>
                <w:sz w:val="20"/>
                <w:szCs w:val="20"/>
              </w:rPr>
              <w:t>re on the provision of poor relief</w:t>
            </w: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 xml:space="preserve">, e.g., Assessing </w:t>
            </w:r>
            <w:r w:rsidRPr="001F2800" w:rsidR="00893E88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Pr="001F2800" w:rsidR="00101BA7">
              <w:rPr>
                <w:rFonts w:asciiTheme="majorHAnsi" w:hAnsiTheme="majorHAnsi" w:cstheme="majorHAnsi"/>
                <w:sz w:val="20"/>
                <w:szCs w:val="20"/>
              </w:rPr>
              <w:t>importance that</w:t>
            </w:r>
            <w:r w:rsidRPr="001F2800" w:rsidR="00893E8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F2800" w:rsidR="00101BA7">
              <w:rPr>
                <w:rFonts w:asciiTheme="majorHAnsi" w:hAnsiTheme="majorHAnsi" w:cstheme="majorHAnsi"/>
                <w:sz w:val="20"/>
                <w:szCs w:val="20"/>
              </w:rPr>
              <w:t>charities played in dealing with poverty.</w:t>
            </w:r>
          </w:p>
          <w:p w:rsidRPr="001F2800" w:rsidR="00240610" w:rsidP="00240610" w:rsidRDefault="00240610" w14:paraId="03C1601B" w14:textId="5AEE56E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 xml:space="preserve">Chronology: A clear understanding of the order of events that led to </w:t>
            </w:r>
            <w:r w:rsidRPr="001F2800" w:rsidR="001F2800">
              <w:rPr>
                <w:rFonts w:asciiTheme="majorHAnsi" w:hAnsiTheme="majorHAnsi" w:cstheme="majorHAnsi"/>
                <w:sz w:val="20"/>
                <w:szCs w:val="20"/>
              </w:rPr>
              <w:t xml:space="preserve">changes to the Poor Law Commission, Poor Law </w:t>
            </w:r>
            <w:proofErr w:type="gramStart"/>
            <w:r w:rsidRPr="001F2800" w:rsidR="001F2800">
              <w:rPr>
                <w:rFonts w:asciiTheme="majorHAnsi" w:hAnsiTheme="majorHAnsi" w:cstheme="majorHAnsi"/>
                <w:sz w:val="20"/>
                <w:szCs w:val="20"/>
              </w:rPr>
              <w:t>Board</w:t>
            </w:r>
            <w:proofErr w:type="gramEnd"/>
            <w:r w:rsidRPr="001F2800" w:rsidR="001F2800">
              <w:rPr>
                <w:rFonts w:asciiTheme="majorHAnsi" w:hAnsiTheme="majorHAnsi" w:cstheme="majorHAnsi"/>
                <w:sz w:val="20"/>
                <w:szCs w:val="20"/>
              </w:rPr>
              <w:t xml:space="preserve"> and the Local Government Board.</w:t>
            </w:r>
          </w:p>
          <w:p w:rsidRPr="001F2800" w:rsidR="00240610" w:rsidP="00240610" w:rsidRDefault="00240610" w14:paraId="2C90AFFF" w14:textId="77777777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</w:p>
          <w:p w:rsidRPr="001F2800" w:rsidR="00240610" w:rsidP="00240610" w:rsidRDefault="00240610" w14:paraId="45BC885A" w14:textId="77777777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1F2800">
              <w:rPr>
                <w:rFonts w:asciiTheme="majorHAnsi" w:hAnsiTheme="majorHAnsi" w:eastAsiaTheme="majorEastAsia" w:cstheme="majorHAnsi"/>
                <w:sz w:val="20"/>
                <w:szCs w:val="20"/>
              </w:rPr>
              <w:t>Skills:</w:t>
            </w:r>
          </w:p>
          <w:p w:rsidRPr="001F2800" w:rsidR="00240610" w:rsidP="00240610" w:rsidRDefault="00240610" w14:paraId="6CC7BFCE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 xml:space="preserve">Essay writing – the skill of constructing a clear and evaluative piece of academic writing with a consistent and well supported argument and line of judgement. </w:t>
            </w:r>
          </w:p>
          <w:p w:rsidRPr="001F2800" w:rsidR="00240610" w:rsidP="00240610" w:rsidRDefault="00240610" w14:paraId="46163D3E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>Source interrogation – the skill of analysing primary sources to ascertain their value to an historian based on content and provenance.</w:t>
            </w:r>
          </w:p>
          <w:p w:rsidRPr="001F2800" w:rsidR="001F2800" w:rsidP="001F2800" w:rsidRDefault="00240610" w14:paraId="6060E46D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 xml:space="preserve">Reading – the skill of reading with interrogation to prioritise information. </w:t>
            </w:r>
          </w:p>
          <w:p w:rsidRPr="001F2800" w:rsidR="0011493F" w:rsidP="001F2800" w:rsidRDefault="00240610" w14:paraId="5546B688" w14:textId="5CFFE77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>Analysis – the skill of weighing up evidence to form a substantiated judgement.</w:t>
            </w:r>
          </w:p>
        </w:tc>
        <w:tc>
          <w:tcPr>
            <w:tcW w:w="3949" w:type="dxa"/>
            <w:vMerge w:val="restart"/>
          </w:tcPr>
          <w:p w:rsidRPr="0087267A" w:rsidR="00E06C66" w:rsidP="00E06C66" w:rsidRDefault="00E06C66" w14:paraId="20F35E00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7267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Regular knowledge tests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and low-stakes quizzes (carousel)</w:t>
            </w:r>
            <w:r w:rsidRPr="0087267A">
              <w:rPr>
                <w:rFonts w:asciiTheme="majorHAnsi" w:hAnsiTheme="majorHAnsi" w:cstheme="majorHAnsi"/>
                <w:sz w:val="20"/>
                <w:szCs w:val="20"/>
              </w:rPr>
              <w:t xml:space="preserve"> to assess understanding of key terms and concepts.</w:t>
            </w:r>
          </w:p>
          <w:p w:rsidR="00E06C66" w:rsidP="00E06C66" w:rsidRDefault="007D0013" w14:paraId="3369EEE8" w14:textId="0F73CFE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Year 13 Mock examination- 1 paper per teacher- 1x Russia Source question, 1x Russia </w:t>
            </w:r>
            <w:r w:rsidR="00BD2E35">
              <w:rPr>
                <w:rFonts w:asciiTheme="majorHAnsi" w:hAnsiTheme="majorHAnsi" w:cstheme="majorHAnsi"/>
                <w:sz w:val="20"/>
                <w:szCs w:val="20"/>
              </w:rPr>
              <w:t>knowledge question, 1x Poverty knowledge</w:t>
            </w:r>
            <w:r w:rsidR="00B00626">
              <w:rPr>
                <w:rFonts w:asciiTheme="majorHAnsi" w:hAnsiTheme="majorHAnsi" w:cstheme="majorHAnsi"/>
                <w:sz w:val="20"/>
                <w:szCs w:val="20"/>
              </w:rPr>
              <w:t xml:space="preserve"> (aspects in depth)</w:t>
            </w:r>
            <w:r w:rsidR="00BD2E35">
              <w:rPr>
                <w:rFonts w:asciiTheme="majorHAnsi" w:hAnsiTheme="majorHAnsi" w:cstheme="majorHAnsi"/>
                <w:sz w:val="20"/>
                <w:szCs w:val="20"/>
              </w:rPr>
              <w:t xml:space="preserve"> questions</w:t>
            </w:r>
            <w:r w:rsidR="008D5FE8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BD2E35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E06C66">
              <w:rPr>
                <w:rFonts w:asciiTheme="majorHAnsi" w:hAnsiTheme="majorHAnsi" w:cstheme="majorHAnsi"/>
                <w:sz w:val="20"/>
                <w:szCs w:val="20"/>
              </w:rPr>
              <w:t xml:space="preserve">0 marks, </w:t>
            </w:r>
            <w:r w:rsidR="00B00626">
              <w:rPr>
                <w:rFonts w:asciiTheme="majorHAnsi" w:hAnsiTheme="majorHAnsi" w:cstheme="majorHAnsi"/>
                <w:sz w:val="20"/>
                <w:szCs w:val="20"/>
              </w:rPr>
              <w:t>135 minutes</w:t>
            </w:r>
            <w:r w:rsidR="00E06C6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F5676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56764">
              <w:rPr>
                <w:rFonts w:asciiTheme="majorHAnsi" w:hAnsiTheme="majorHAnsi" w:cstheme="majorHAnsi"/>
                <w:sz w:val="20"/>
                <w:szCs w:val="20"/>
              </w:rPr>
              <w:t>Detailed feedback given then improvement of weakest essay submitted and marked.</w:t>
            </w:r>
          </w:p>
          <w:p w:rsidRPr="00273D93" w:rsidR="0011493F" w:rsidP="00E06C66" w:rsidRDefault="00E06C66" w14:paraId="5A1ADD0C" w14:textId="01FF0A0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 xml:space="preserve">Research and independent learning using books and articles to assess </w:t>
            </w:r>
            <w:r w:rsidRPr="00273D9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comprehension of issues and broaden knowledge.</w:t>
            </w:r>
          </w:p>
        </w:tc>
      </w:tr>
      <w:tr w:rsidRPr="00732BB2" w:rsidR="0011493F" w:rsidTr="006567DF" w14:paraId="380B49C2" w14:textId="77777777">
        <w:trPr>
          <w:trHeight w:val="143"/>
        </w:trPr>
        <w:tc>
          <w:tcPr>
            <w:tcW w:w="1020" w:type="dxa"/>
            <w:vMerge/>
          </w:tcPr>
          <w:p w:rsidRPr="00732BB2" w:rsidR="0011493F" w:rsidP="0011493F" w:rsidRDefault="0011493F" w14:paraId="131A6B67" w14:textId="77777777">
            <w:pPr>
              <w:rPr>
                <w:b/>
                <w:bCs/>
              </w:rPr>
            </w:pPr>
          </w:p>
        </w:tc>
        <w:tc>
          <w:tcPr>
            <w:tcW w:w="5194" w:type="dxa"/>
          </w:tcPr>
          <w:p w:rsidRPr="001F2800" w:rsidR="00585CEC" w:rsidP="006E73AF" w:rsidRDefault="006E73AF" w14:paraId="2F6607FD" w14:textId="528EBAA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1F2800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3.</w:t>
            </w:r>
            <w:r w:rsidRPr="001F2800" w:rsidR="0030778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5 The Government, </w:t>
            </w:r>
            <w:proofErr w:type="gramStart"/>
            <w:r w:rsidRPr="001F2800" w:rsidR="0030778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Self-help</w:t>
            </w:r>
            <w:proofErr w:type="gramEnd"/>
            <w:r w:rsidRPr="001F2800" w:rsidR="0030778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and Charity, 1847-80</w:t>
            </w:r>
          </w:p>
          <w:p w:rsidRPr="001F2800" w:rsidR="00F32626" w:rsidP="003D6DEE" w:rsidRDefault="005E5DBE" w14:paraId="0ADD463E" w14:textId="1A63ADD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F280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Changing government control: Significance of the Andover workhouse scandal; the Poor Law Board; the impact of the Parliamentary Reform Act 1867 on poor law policy; the Local Government Board.</w:t>
            </w:r>
          </w:p>
          <w:p w:rsidRPr="001F2800" w:rsidR="00486F1F" w:rsidP="003D6DEE" w:rsidRDefault="00486F1F" w14:paraId="0B8D801E" w14:textId="30EB947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F280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The importance of charity and self-help in dealing with poverty: the Charity Organisation Society, Friendly Societies, trade unions and cooperatives.</w:t>
            </w:r>
          </w:p>
          <w:p w:rsidRPr="001F2800" w:rsidR="00C6676E" w:rsidP="003D6DEE" w:rsidRDefault="00C6676E" w14:paraId="65FA8D1B" w14:textId="2E54AB1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F280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The role of individuals in developing and challenging the prevailing orthodoxy</w:t>
            </w:r>
            <w:r w:rsidRPr="001F2800" w:rsidR="001F1AA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: Samuel Smiles, Henry </w:t>
            </w:r>
            <w:proofErr w:type="gramStart"/>
            <w:r w:rsidRPr="001F2800" w:rsidR="001F1AA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Mayhew</w:t>
            </w:r>
            <w:proofErr w:type="gramEnd"/>
            <w:r w:rsidRPr="001F2800" w:rsidR="001F1AA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and Charles Dickens.</w:t>
            </w:r>
          </w:p>
          <w:p w:rsidRPr="001F2800" w:rsidR="00307783" w:rsidP="006E73AF" w:rsidRDefault="00307783" w14:paraId="7FFA19EA" w14:textId="7777777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1F2800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3.6 </w:t>
            </w:r>
            <w:r w:rsidRPr="001F2800" w:rsidR="00C10D6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Social and We</w:t>
            </w:r>
            <w:r w:rsidRPr="001F2800" w:rsidR="00A5257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lfare reforms: pressure and action, 1880-1914</w:t>
            </w:r>
          </w:p>
          <w:p w:rsidRPr="001F2800" w:rsidR="00A52573" w:rsidP="003D6DEE" w:rsidRDefault="00B65B60" w14:paraId="3FE3A2EB" w14:textId="7777777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F280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Pressures for reform: The work of Charles Booth, Seebohm Rowntree and the Fabian Societ</w:t>
            </w:r>
            <w:r w:rsidRPr="001F2800" w:rsidR="005E0F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y; the impact of Boer War recruitment statistics; the work of the Government Inter-Departmental Committee; the debate over national efficiency</w:t>
            </w:r>
            <w:r w:rsidRPr="001F2800" w:rsidR="0096742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  <w:p w:rsidRPr="001F2800" w:rsidR="0096742D" w:rsidP="003D6DEE" w:rsidRDefault="0096742D" w14:paraId="6B39BF1D" w14:textId="7777777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F280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The significance of the Royal Commission on the Poor Laws, 1905-09 and of the majority and minority reports; the establishment of principles of welfare reform.</w:t>
            </w:r>
          </w:p>
          <w:p w:rsidRPr="001F2800" w:rsidR="0096742D" w:rsidP="003D6DEE" w:rsidRDefault="0096742D" w14:paraId="7796FAC6" w14:textId="5026C8E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F280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The impact of the Liberal government’s reforms: </w:t>
            </w:r>
            <w:proofErr w:type="gramStart"/>
            <w:r w:rsidRPr="001F280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Old</w:t>
            </w:r>
            <w:proofErr w:type="gramEnd"/>
            <w:r w:rsidRPr="001F280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age pensions and National Insurance; </w:t>
            </w:r>
            <w:r w:rsidRPr="001F2800" w:rsidR="00621A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the Trade Boards Act 1909 and the Labour Exchanges Act 1909.</w:t>
            </w:r>
          </w:p>
        </w:tc>
        <w:tc>
          <w:tcPr>
            <w:tcW w:w="5441" w:type="dxa"/>
            <w:vMerge/>
          </w:tcPr>
          <w:p w:rsidRPr="001F2800" w:rsidR="0011493F" w:rsidP="0011493F" w:rsidRDefault="0011493F" w14:paraId="761F6C25" w14:textId="77777777">
            <w:pPr>
              <w:pStyle w:val="ListParagraph"/>
              <w:ind w:left="50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49" w:type="dxa"/>
            <w:vMerge/>
          </w:tcPr>
          <w:p w:rsidRPr="00273D93" w:rsidR="0011493F" w:rsidP="0011493F" w:rsidRDefault="0011493F" w14:paraId="2E84CF23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732BB2" w:rsidR="001F2800" w:rsidTr="006567DF" w14:paraId="628D8D94" w14:textId="77777777">
        <w:trPr>
          <w:trHeight w:val="521"/>
        </w:trPr>
        <w:tc>
          <w:tcPr>
            <w:tcW w:w="1020" w:type="dxa"/>
            <w:vMerge w:val="restart"/>
            <w:shd w:val="clear" w:color="auto" w:fill="FFE599" w:themeFill="accent4" w:themeFillTint="66"/>
          </w:tcPr>
          <w:p w:rsidRPr="00732BB2" w:rsidR="001F2800" w:rsidP="001F2800" w:rsidRDefault="001F2800" w14:paraId="24195B5D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Spring Term</w:t>
            </w:r>
          </w:p>
          <w:p w:rsidRPr="00732BB2" w:rsidR="001F2800" w:rsidP="001F2800" w:rsidRDefault="001F2800" w14:paraId="7BD2C7FD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2B</w:t>
            </w:r>
          </w:p>
          <w:p w:rsidRPr="00732BB2" w:rsidR="001F2800" w:rsidP="001F2800" w:rsidRDefault="001F2800" w14:paraId="604F2081" w14:textId="3CCA42F3">
            <w:pPr>
              <w:rPr>
                <w:b/>
                <w:bCs/>
              </w:rPr>
            </w:pPr>
          </w:p>
        </w:tc>
        <w:tc>
          <w:tcPr>
            <w:tcW w:w="5194" w:type="dxa"/>
          </w:tcPr>
          <w:p w:rsidRPr="00273D93" w:rsidR="001F2800" w:rsidP="001F2800" w:rsidRDefault="001F2800" w14:paraId="569EEEC5" w14:textId="7777777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273D9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Intent </w:t>
            </w:r>
          </w:p>
          <w:p w:rsidRPr="00273D93" w:rsidR="001F2800" w:rsidP="001F2800" w:rsidRDefault="001F2800" w14:paraId="2A3AE9B6" w14:textId="7777777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Why is this taught now?</w:t>
            </w:r>
          </w:p>
        </w:tc>
        <w:tc>
          <w:tcPr>
            <w:tcW w:w="5441" w:type="dxa"/>
            <w:vMerge w:val="restart"/>
          </w:tcPr>
          <w:p w:rsidRPr="001F2800" w:rsidR="001F2800" w:rsidP="001F2800" w:rsidRDefault="001F2800" w14:paraId="136E205A" w14:textId="77777777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1F2800">
              <w:rPr>
                <w:rFonts w:asciiTheme="majorHAnsi" w:hAnsiTheme="majorHAnsi" w:eastAsiaTheme="majorEastAsia" w:cstheme="majorHAnsi"/>
                <w:sz w:val="20"/>
                <w:szCs w:val="20"/>
              </w:rPr>
              <w:t>Key concepts:</w:t>
            </w:r>
          </w:p>
          <w:p w:rsidRPr="001F2800" w:rsidR="001F2800" w:rsidP="001F2800" w:rsidRDefault="001F2800" w14:paraId="02DBCDA1" w14:textId="7A66021D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 xml:space="preserve">Change and continuity: </w:t>
            </w:r>
            <w:r w:rsidR="00C10A8B">
              <w:rPr>
                <w:rFonts w:asciiTheme="majorHAnsi" w:hAnsiTheme="majorHAnsi" w:cstheme="majorHAnsi"/>
                <w:sz w:val="20"/>
                <w:szCs w:val="20"/>
              </w:rPr>
              <w:t>What about the contextual situation in the 1920s drove change, and what remained similar in the governments approach to dealing with poverty</w:t>
            </w: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Pr="001F2800" w:rsidR="001F2800" w:rsidP="001F2800" w:rsidRDefault="001F2800" w14:paraId="456C3E0E" w14:textId="4710AAE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 xml:space="preserve">Similarity and Difference: A comparison between the treatment of the poor </w:t>
            </w:r>
            <w:r w:rsidR="00C10A8B">
              <w:rPr>
                <w:rFonts w:asciiTheme="majorHAnsi" w:hAnsiTheme="majorHAnsi" w:cstheme="majorHAnsi"/>
                <w:sz w:val="20"/>
                <w:szCs w:val="20"/>
              </w:rPr>
              <w:t>and the administration of poor relief between the respective chapters</w:t>
            </w: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Pr="001F2800" w:rsidR="001F2800" w:rsidP="001F2800" w:rsidRDefault="001F2800" w14:paraId="64956B23" w14:textId="5926B49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 xml:space="preserve">Significance: How significant different factors, individuals or events are on the provision of poor relief, e.g., Assessing the </w:t>
            </w:r>
            <w:r w:rsidR="00347AC1">
              <w:rPr>
                <w:rFonts w:asciiTheme="majorHAnsi" w:hAnsiTheme="majorHAnsi" w:cstheme="majorHAnsi"/>
                <w:sz w:val="20"/>
                <w:szCs w:val="20"/>
              </w:rPr>
              <w:t>role of</w:t>
            </w:r>
            <w:r w:rsidR="00795908">
              <w:rPr>
                <w:rFonts w:asciiTheme="majorHAnsi" w:hAnsiTheme="majorHAnsi" w:cstheme="majorHAnsi"/>
                <w:sz w:val="20"/>
                <w:szCs w:val="20"/>
              </w:rPr>
              <w:t xml:space="preserve"> the Jarrow March and Hunger Marches in changing the governments approach to poverty</w:t>
            </w: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Pr="001F2800" w:rsidR="001F2800" w:rsidP="001F2800" w:rsidRDefault="001F2800" w14:paraId="533C1C91" w14:textId="645EA08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>Chronology: A clear understanding of the order of events that led to</w:t>
            </w:r>
            <w:r w:rsidR="00553CD5">
              <w:rPr>
                <w:rFonts w:asciiTheme="majorHAnsi" w:hAnsiTheme="majorHAnsi" w:cstheme="majorHAnsi"/>
                <w:sz w:val="20"/>
                <w:szCs w:val="20"/>
              </w:rPr>
              <w:t xml:space="preserve"> government measures in the 1930s</w:t>
            </w: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Pr="001F2800" w:rsidR="001F2800" w:rsidP="001F2800" w:rsidRDefault="001F2800" w14:paraId="4420D45F" w14:textId="77777777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</w:p>
          <w:p w:rsidRPr="001F2800" w:rsidR="001F2800" w:rsidP="001F2800" w:rsidRDefault="001F2800" w14:paraId="3A80175B" w14:textId="77777777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1F2800">
              <w:rPr>
                <w:rFonts w:asciiTheme="majorHAnsi" w:hAnsiTheme="majorHAnsi" w:eastAsiaTheme="majorEastAsia" w:cstheme="majorHAnsi"/>
                <w:sz w:val="20"/>
                <w:szCs w:val="20"/>
              </w:rPr>
              <w:t>Skills:</w:t>
            </w:r>
          </w:p>
          <w:p w:rsidRPr="001F2800" w:rsidR="001F2800" w:rsidP="001F2800" w:rsidRDefault="001F2800" w14:paraId="5F0CC58A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 xml:space="preserve">Essay writing – the skill of constructing a clear and evaluative piece of academic writing with a consistent and well supported argument and line of judgement. </w:t>
            </w:r>
          </w:p>
          <w:p w:rsidRPr="00553CD5" w:rsidR="001F2800" w:rsidP="001F2800" w:rsidRDefault="001F2800" w14:paraId="080323EA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 xml:space="preserve">Source interrogation – the skill of analysing primary sources to </w:t>
            </w:r>
            <w:r w:rsidRPr="00553CD5">
              <w:rPr>
                <w:rFonts w:asciiTheme="majorHAnsi" w:hAnsiTheme="majorHAnsi" w:cstheme="majorHAnsi"/>
                <w:sz w:val="20"/>
                <w:szCs w:val="20"/>
              </w:rPr>
              <w:t>ascertain their value to an historian based on content and provenance.</w:t>
            </w:r>
          </w:p>
          <w:p w:rsidRPr="00553CD5" w:rsidR="00553CD5" w:rsidP="00553CD5" w:rsidRDefault="001F2800" w14:paraId="3DD43350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553CD5">
              <w:rPr>
                <w:rFonts w:asciiTheme="majorHAnsi" w:hAnsiTheme="majorHAnsi" w:cstheme="majorHAnsi"/>
                <w:sz w:val="20"/>
                <w:szCs w:val="20"/>
              </w:rPr>
              <w:t xml:space="preserve">Reading – the skill of reading with interrogation to prioritise information. </w:t>
            </w:r>
          </w:p>
          <w:p w:rsidRPr="00553CD5" w:rsidR="001F2800" w:rsidP="00553CD5" w:rsidRDefault="001F2800" w14:paraId="3124C568" w14:textId="0F474FF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553CD5">
              <w:rPr>
                <w:rFonts w:asciiTheme="majorHAnsi" w:hAnsiTheme="majorHAnsi" w:cstheme="majorHAnsi"/>
                <w:sz w:val="20"/>
                <w:szCs w:val="20"/>
              </w:rPr>
              <w:t>Analysis – the skill of weighing up evidence to form a substantiated judgement.</w:t>
            </w:r>
          </w:p>
        </w:tc>
        <w:tc>
          <w:tcPr>
            <w:tcW w:w="3949" w:type="dxa"/>
            <w:vMerge w:val="restart"/>
          </w:tcPr>
          <w:p w:rsidRPr="0087267A" w:rsidR="00B00626" w:rsidP="00B00626" w:rsidRDefault="00B00626" w14:paraId="06185F17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7267A">
              <w:rPr>
                <w:rFonts w:asciiTheme="majorHAnsi" w:hAnsiTheme="majorHAnsi" w:cstheme="majorHAnsi"/>
                <w:sz w:val="20"/>
                <w:szCs w:val="20"/>
              </w:rPr>
              <w:t>Regular knowledge tests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and low-stakes quizzes (carousel)</w:t>
            </w:r>
            <w:r w:rsidRPr="0087267A">
              <w:rPr>
                <w:rFonts w:asciiTheme="majorHAnsi" w:hAnsiTheme="majorHAnsi" w:cstheme="majorHAnsi"/>
                <w:sz w:val="20"/>
                <w:szCs w:val="20"/>
              </w:rPr>
              <w:t xml:space="preserve"> to assess understanding of key terms and concepts.</w:t>
            </w:r>
          </w:p>
          <w:p w:rsidR="00F56764" w:rsidP="00F56764" w:rsidRDefault="00F56764" w14:paraId="04E21932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Year 13 Poverty source examination- 1 paper per teacher- 1x Poverty source- 20 marks, 45 minutes.</w:t>
            </w:r>
          </w:p>
          <w:p w:rsidR="00B00626" w:rsidP="00B00626" w:rsidRDefault="00F56764" w14:paraId="7004B4BE" w14:textId="7F0BDB1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Detailed feedback given then improvement of weakest essay submitted and marked.</w:t>
            </w:r>
          </w:p>
          <w:p w:rsidRPr="00273D93" w:rsidR="001F2800" w:rsidP="00B00626" w:rsidRDefault="00B00626" w14:paraId="6AB5FBE6" w14:textId="7F96D07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>Research and independent learning using books and articles to assess comprehension of issues and broaden knowledge.</w:t>
            </w:r>
          </w:p>
        </w:tc>
      </w:tr>
      <w:tr w:rsidRPr="00732BB2" w:rsidR="001F2800" w:rsidTr="006567DF" w14:paraId="22E067EF" w14:textId="77777777">
        <w:trPr>
          <w:trHeight w:val="143"/>
        </w:trPr>
        <w:tc>
          <w:tcPr>
            <w:tcW w:w="1020" w:type="dxa"/>
            <w:vMerge/>
          </w:tcPr>
          <w:p w:rsidRPr="00732BB2" w:rsidR="001F2800" w:rsidP="001F2800" w:rsidRDefault="001F2800" w14:paraId="6B7D5D99" w14:textId="77777777">
            <w:pPr>
              <w:rPr>
                <w:b/>
                <w:bCs/>
              </w:rPr>
            </w:pPr>
          </w:p>
        </w:tc>
        <w:tc>
          <w:tcPr>
            <w:tcW w:w="5194" w:type="dxa"/>
          </w:tcPr>
          <w:p w:rsidRPr="00273D93" w:rsidR="001F2800" w:rsidP="001F2800" w:rsidRDefault="001F2800" w14:paraId="749CBF72" w14:textId="7777777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Depression and the dole: poverty in the inter-war years, 1920-39</w:t>
            </w:r>
          </w:p>
          <w:p w:rsidRPr="00273D93" w:rsidR="001F2800" w:rsidP="001F2800" w:rsidRDefault="001F2800" w14:paraId="55D7766D" w14:textId="77777777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The problem of poverty in the 1920s and 30s: The impact of the decline of heavy industry; the impact of the Wall Street Crash and the Depression.</w:t>
            </w:r>
          </w:p>
          <w:p w:rsidRPr="00273D93" w:rsidR="001F2800" w:rsidP="001F2800" w:rsidRDefault="001F2800" w14:paraId="6EFEE9EE" w14:textId="77777777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The impact of the Jarrow March and hunger marches; the role of Ellen Wilkinson.</w:t>
            </w:r>
          </w:p>
          <w:p w:rsidR="001F2800" w:rsidP="001F2800" w:rsidRDefault="001F2800" w14:paraId="7CBA9E1A" w14:textId="77777777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Government measures in the 1930s including the impact of the Means Test and the ‘Dole’; the Special Areas Act 1934 and Unemployment Act 1934.</w:t>
            </w:r>
          </w:p>
          <w:p w:rsidR="001F2800" w:rsidP="001F2800" w:rsidRDefault="001F2800" w14:paraId="6EB6A901" w14:textId="7777777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="001F2800" w:rsidP="001F2800" w:rsidRDefault="001F2800" w14:paraId="5F518641" w14:textId="7777777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ED2BA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Russia in Revolution, 1894-1924 and Poverty, Public </w:t>
            </w:r>
            <w:proofErr w:type="gramStart"/>
            <w:r w:rsidRPr="00ED2BA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Health</w:t>
            </w:r>
            <w:proofErr w:type="gramEnd"/>
            <w:r w:rsidRPr="00ED2BA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and the State exam revision.</w:t>
            </w:r>
          </w:p>
          <w:p w:rsidRPr="00551CDF" w:rsidR="001F2800" w:rsidP="001F2800" w:rsidRDefault="001F2800" w14:paraId="5E4EE23E" w14:textId="77777777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51CD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Approach to Section A Source question (Russia)</w:t>
            </w:r>
          </w:p>
          <w:p w:rsidRPr="00551CDF" w:rsidR="001F2800" w:rsidP="001F2800" w:rsidRDefault="001F2800" w14:paraId="6413093B" w14:textId="77777777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51CD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Approach to Section B knowledge question (Russia)</w:t>
            </w:r>
          </w:p>
          <w:p w:rsidRPr="00551CDF" w:rsidR="001F2800" w:rsidP="001F2800" w:rsidRDefault="001F2800" w14:paraId="45C87C3B" w14:textId="77777777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51CD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Approach to Section A Source question (Poverty)</w:t>
            </w:r>
          </w:p>
          <w:p w:rsidRPr="00551CDF" w:rsidR="001F2800" w:rsidP="001F2800" w:rsidRDefault="001F2800" w14:paraId="3CB252CD" w14:textId="77777777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51CD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Approach to Section B knowledge question (Poverty)</w:t>
            </w:r>
          </w:p>
          <w:p w:rsidRPr="00ED2BA3" w:rsidR="001F2800" w:rsidP="001F2800" w:rsidRDefault="001F2800" w14:paraId="437CB9EE" w14:textId="44827C2A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551CD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Approach to Section C breadth knowledge question (Poverty)</w:t>
            </w:r>
          </w:p>
        </w:tc>
        <w:tc>
          <w:tcPr>
            <w:tcW w:w="5441" w:type="dxa"/>
            <w:vMerge/>
          </w:tcPr>
          <w:p w:rsidRPr="00273D93" w:rsidR="001F2800" w:rsidP="001F2800" w:rsidRDefault="001F2800" w14:paraId="22F5C956" w14:textId="77777777">
            <w:pPr>
              <w:pStyle w:val="ListParagraph"/>
              <w:ind w:left="50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49" w:type="dxa"/>
            <w:vMerge/>
          </w:tcPr>
          <w:p w:rsidRPr="00273D93" w:rsidR="001F2800" w:rsidP="001F2800" w:rsidRDefault="001F2800" w14:paraId="4A39B4F8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732BB2" w:rsidR="001F2800" w:rsidTr="006567DF" w14:paraId="47F4C9BC" w14:textId="77777777">
        <w:trPr>
          <w:trHeight w:val="521"/>
        </w:trPr>
        <w:tc>
          <w:tcPr>
            <w:tcW w:w="1020" w:type="dxa"/>
            <w:vMerge w:val="restart"/>
            <w:shd w:val="clear" w:color="auto" w:fill="FFD966" w:themeFill="accent4" w:themeFillTint="99"/>
          </w:tcPr>
          <w:p w:rsidRPr="00732BB2" w:rsidR="001F2800" w:rsidP="001F2800" w:rsidRDefault="001F2800" w14:paraId="16000D80" w14:textId="77777777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lastRenderedPageBreak/>
              <w:t>Summer Term</w:t>
            </w:r>
          </w:p>
          <w:p w:rsidRPr="00732BB2" w:rsidR="001F2800" w:rsidP="001F2800" w:rsidRDefault="001F2800" w14:paraId="1B129A87" w14:textId="1464C905">
            <w:pPr>
              <w:rPr>
                <w:b/>
                <w:bCs/>
              </w:rPr>
            </w:pPr>
            <w:r w:rsidRPr="00732BB2">
              <w:rPr>
                <w:b/>
                <w:bCs/>
              </w:rPr>
              <w:t>3A</w:t>
            </w:r>
          </w:p>
          <w:p w:rsidRPr="00732BB2" w:rsidR="001F2800" w:rsidP="001F2800" w:rsidRDefault="001F2800" w14:paraId="33BEFB45" w14:textId="26B9F1CB">
            <w:pPr>
              <w:rPr>
                <w:b/>
                <w:bCs/>
              </w:rPr>
            </w:pPr>
          </w:p>
        </w:tc>
        <w:tc>
          <w:tcPr>
            <w:tcW w:w="5194" w:type="dxa"/>
          </w:tcPr>
          <w:p w:rsidRPr="00273D93" w:rsidR="001F2800" w:rsidP="001F2800" w:rsidRDefault="001F2800" w14:paraId="40BA51D2" w14:textId="7777777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273D93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Intent </w:t>
            </w:r>
          </w:p>
          <w:p w:rsidRPr="00273D93" w:rsidR="001F2800" w:rsidP="001F2800" w:rsidRDefault="001F2800" w14:paraId="46E1B144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>Why is this taught now?</w:t>
            </w:r>
          </w:p>
        </w:tc>
        <w:tc>
          <w:tcPr>
            <w:tcW w:w="5441" w:type="dxa"/>
            <w:vMerge w:val="restart"/>
          </w:tcPr>
          <w:p w:rsidRPr="001F2800" w:rsidR="002C2F7A" w:rsidP="002C2F7A" w:rsidRDefault="002C2F7A" w14:paraId="2E639DEF" w14:textId="77777777">
            <w:p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1F2800">
              <w:rPr>
                <w:rFonts w:asciiTheme="majorHAnsi" w:hAnsiTheme="majorHAnsi" w:eastAsiaTheme="majorEastAsia" w:cstheme="majorHAnsi"/>
                <w:sz w:val="20"/>
                <w:szCs w:val="20"/>
              </w:rPr>
              <w:t>Skills:</w:t>
            </w:r>
          </w:p>
          <w:p w:rsidRPr="001F2800" w:rsidR="002C2F7A" w:rsidP="002C2F7A" w:rsidRDefault="002C2F7A" w14:paraId="3EAE9757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 xml:space="preserve">Essay writing – the skill of constructing a clear and evaluative piece of academic writing with a consistent and well supported argument and line of judgement. </w:t>
            </w:r>
          </w:p>
          <w:p w:rsidRPr="00553CD5" w:rsidR="002C2F7A" w:rsidP="002C2F7A" w:rsidRDefault="002C2F7A" w14:paraId="4AF0C351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1F2800">
              <w:rPr>
                <w:rFonts w:asciiTheme="majorHAnsi" w:hAnsiTheme="majorHAnsi" w:cstheme="majorHAnsi"/>
                <w:sz w:val="20"/>
                <w:szCs w:val="20"/>
              </w:rPr>
              <w:t xml:space="preserve">Source interrogation – the skill of analysing primary sources to </w:t>
            </w:r>
            <w:r w:rsidRPr="00553CD5">
              <w:rPr>
                <w:rFonts w:asciiTheme="majorHAnsi" w:hAnsiTheme="majorHAnsi" w:cstheme="majorHAnsi"/>
                <w:sz w:val="20"/>
                <w:szCs w:val="20"/>
              </w:rPr>
              <w:t>ascertain their value to an historian based on content and provenance.</w:t>
            </w:r>
          </w:p>
          <w:p w:rsidRPr="00553CD5" w:rsidR="002C2F7A" w:rsidP="002C2F7A" w:rsidRDefault="002C2F7A" w14:paraId="1181C4AF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eastAsiaTheme="majorEastAsia" w:cstheme="majorHAnsi"/>
                <w:sz w:val="20"/>
                <w:szCs w:val="20"/>
              </w:rPr>
            </w:pPr>
            <w:r w:rsidRPr="00553CD5">
              <w:rPr>
                <w:rFonts w:asciiTheme="majorHAnsi" w:hAnsiTheme="majorHAnsi" w:cstheme="majorHAnsi"/>
                <w:sz w:val="20"/>
                <w:szCs w:val="20"/>
              </w:rPr>
              <w:t xml:space="preserve">Reading – the skill of reading with interrogation to prioritise information. </w:t>
            </w:r>
          </w:p>
          <w:p w:rsidRPr="00273D93" w:rsidR="001F2800" w:rsidP="002C2F7A" w:rsidRDefault="002C2F7A" w14:paraId="5B5A5E96" w14:textId="3A63214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553CD5">
              <w:rPr>
                <w:rFonts w:asciiTheme="majorHAnsi" w:hAnsiTheme="majorHAnsi" w:cstheme="majorHAnsi"/>
                <w:sz w:val="20"/>
                <w:szCs w:val="20"/>
              </w:rPr>
              <w:t>Analysis – the skill of weighing up evidence to form a substantiated judgement.</w:t>
            </w:r>
          </w:p>
        </w:tc>
        <w:tc>
          <w:tcPr>
            <w:tcW w:w="3949" w:type="dxa"/>
            <w:vMerge w:val="restart"/>
          </w:tcPr>
          <w:p w:rsidRPr="0087267A" w:rsidR="00A8256D" w:rsidP="00A8256D" w:rsidRDefault="00A8256D" w14:paraId="0E5F22F3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7267A">
              <w:rPr>
                <w:rFonts w:asciiTheme="majorHAnsi" w:hAnsiTheme="majorHAnsi" w:cstheme="majorHAnsi"/>
                <w:sz w:val="20"/>
                <w:szCs w:val="20"/>
              </w:rPr>
              <w:t>Regular knowledge tests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and low-stakes quizzes (carousel)</w:t>
            </w:r>
            <w:r w:rsidRPr="0087267A">
              <w:rPr>
                <w:rFonts w:asciiTheme="majorHAnsi" w:hAnsiTheme="majorHAnsi" w:cstheme="majorHAnsi"/>
                <w:sz w:val="20"/>
                <w:szCs w:val="20"/>
              </w:rPr>
              <w:t xml:space="preserve"> to assess understanding of key terms and concepts.</w:t>
            </w:r>
          </w:p>
          <w:p w:rsidR="001F2800" w:rsidP="00A8256D" w:rsidRDefault="00A8256D" w14:paraId="52F67461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273D93">
              <w:rPr>
                <w:rFonts w:asciiTheme="majorHAnsi" w:hAnsiTheme="majorHAnsi" w:cstheme="majorHAnsi"/>
                <w:sz w:val="20"/>
                <w:szCs w:val="20"/>
              </w:rPr>
              <w:t>Research and independent learning using books and articles to assess comprehension of issues and broaden knowledge.</w:t>
            </w:r>
          </w:p>
          <w:p w:rsidRPr="00273D93" w:rsidR="00F56764" w:rsidP="00A8256D" w:rsidRDefault="00F56764" w14:paraId="34EB7503" w14:textId="5AC805F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All potential revision questions planned and submitted by students reviewed </w:t>
            </w:r>
            <w:r w:rsidR="00792D38">
              <w:rPr>
                <w:rFonts w:asciiTheme="majorHAnsi" w:hAnsiTheme="majorHAnsi" w:cstheme="majorHAnsi"/>
                <w:sz w:val="20"/>
                <w:szCs w:val="20"/>
              </w:rPr>
              <w:t>by the teacher.</w:t>
            </w:r>
          </w:p>
        </w:tc>
      </w:tr>
      <w:tr w:rsidRPr="00732BB2" w:rsidR="001F2800" w:rsidTr="006567DF" w14:paraId="519EBF94" w14:textId="77777777">
        <w:trPr>
          <w:trHeight w:val="143"/>
        </w:trPr>
        <w:tc>
          <w:tcPr>
            <w:tcW w:w="1020" w:type="dxa"/>
            <w:vMerge/>
          </w:tcPr>
          <w:p w:rsidRPr="00732BB2" w:rsidR="001F2800" w:rsidP="001F2800" w:rsidRDefault="001F2800" w14:paraId="14EBFC61" w14:textId="77777777">
            <w:pPr>
              <w:rPr>
                <w:b/>
                <w:bCs/>
              </w:rPr>
            </w:pPr>
          </w:p>
        </w:tc>
        <w:tc>
          <w:tcPr>
            <w:tcW w:w="5194" w:type="dxa"/>
          </w:tcPr>
          <w:p w:rsidR="002C2F7A" w:rsidP="002C2F7A" w:rsidRDefault="002C2F7A" w14:paraId="59A0B7BF" w14:textId="7777777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ED2BA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Russia in Revolution, 1894-1924 and Poverty, Public </w:t>
            </w:r>
            <w:proofErr w:type="gramStart"/>
            <w:r w:rsidRPr="00ED2BA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Health</w:t>
            </w:r>
            <w:proofErr w:type="gramEnd"/>
            <w:r w:rsidRPr="00ED2BA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and the State exam revision.</w:t>
            </w:r>
          </w:p>
          <w:p w:rsidRPr="00551CDF" w:rsidR="002C2F7A" w:rsidP="002C2F7A" w:rsidRDefault="002C2F7A" w14:paraId="05B5F175" w14:textId="77777777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51CD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Approach to Section A Source question (Russia)</w:t>
            </w:r>
          </w:p>
          <w:p w:rsidRPr="00551CDF" w:rsidR="002C2F7A" w:rsidP="002C2F7A" w:rsidRDefault="002C2F7A" w14:paraId="2FFCCB87" w14:textId="77777777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51CD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Approach to Section B knowledge question (Russia)</w:t>
            </w:r>
          </w:p>
          <w:p w:rsidRPr="00551CDF" w:rsidR="002C2F7A" w:rsidP="002C2F7A" w:rsidRDefault="002C2F7A" w14:paraId="1018D276" w14:textId="77777777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51CD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Approach to Section A Source question (Poverty)</w:t>
            </w:r>
          </w:p>
          <w:p w:rsidRPr="002C2F7A" w:rsidR="001F2800" w:rsidP="002C2F7A" w:rsidRDefault="002C2F7A" w14:paraId="3C3DC8DD" w14:textId="0EE4A65B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51CD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Approach to Section B knowledge question (Poverty)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2C2F7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Approach to Section C breadth knowledge question (Poverty)</w:t>
            </w:r>
          </w:p>
        </w:tc>
        <w:tc>
          <w:tcPr>
            <w:tcW w:w="5441" w:type="dxa"/>
            <w:vMerge/>
          </w:tcPr>
          <w:p w:rsidRPr="00273D93" w:rsidR="001F2800" w:rsidP="001F2800" w:rsidRDefault="001F2800" w14:paraId="294FA5E5" w14:textId="77777777">
            <w:pPr>
              <w:pStyle w:val="ListParagraph"/>
              <w:ind w:left="50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49" w:type="dxa"/>
            <w:vMerge/>
          </w:tcPr>
          <w:p w:rsidRPr="00273D93" w:rsidR="001F2800" w:rsidP="001F2800" w:rsidRDefault="001F2800" w14:paraId="6F9C1356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Pr="00055320" w:rsidR="00055320" w:rsidP="00055320" w:rsidRDefault="00055320" w14:paraId="4FD828CD" w14:textId="11762E1D">
      <w:pPr>
        <w:tabs>
          <w:tab w:val="left" w:pos="5970"/>
        </w:tabs>
      </w:pPr>
    </w:p>
    <w:sectPr w:rsidRPr="00055320" w:rsidR="00055320" w:rsidSect="00DB6A3D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51B4" w:rsidP="00055320" w:rsidRDefault="002451B4" w14:paraId="7164B13B" w14:textId="77777777">
      <w:pPr>
        <w:spacing w:after="0" w:line="240" w:lineRule="auto"/>
      </w:pPr>
      <w:r>
        <w:separator/>
      </w:r>
    </w:p>
  </w:endnote>
  <w:endnote w:type="continuationSeparator" w:id="0">
    <w:p w:rsidR="002451B4" w:rsidP="00055320" w:rsidRDefault="002451B4" w14:paraId="1E7AEA60" w14:textId="77777777">
      <w:pPr>
        <w:spacing w:after="0" w:line="240" w:lineRule="auto"/>
      </w:pPr>
      <w:r>
        <w:continuationSeparator/>
      </w:r>
    </w:p>
  </w:endnote>
  <w:endnote w:type="continuationNotice" w:id="1">
    <w:p w:rsidR="002451B4" w:rsidRDefault="002451B4" w14:paraId="3D5C1C2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51B4" w:rsidP="00055320" w:rsidRDefault="002451B4" w14:paraId="2CB4314B" w14:textId="77777777">
      <w:pPr>
        <w:spacing w:after="0" w:line="240" w:lineRule="auto"/>
      </w:pPr>
      <w:r>
        <w:separator/>
      </w:r>
    </w:p>
  </w:footnote>
  <w:footnote w:type="continuationSeparator" w:id="0">
    <w:p w:rsidR="002451B4" w:rsidP="00055320" w:rsidRDefault="002451B4" w14:paraId="368E956A" w14:textId="77777777">
      <w:pPr>
        <w:spacing w:after="0" w:line="240" w:lineRule="auto"/>
      </w:pPr>
      <w:r>
        <w:continuationSeparator/>
      </w:r>
    </w:p>
  </w:footnote>
  <w:footnote w:type="continuationNotice" w:id="1">
    <w:p w:rsidR="002451B4" w:rsidRDefault="002451B4" w14:paraId="7DFECA2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5320" w:rsidR="00055320" w:rsidP="00055320" w:rsidRDefault="00055320" w14:paraId="4A6B81E4" w14:textId="706CC49C">
    <w:pPr>
      <w:rPr>
        <w:b/>
        <w:bCs/>
      </w:rPr>
    </w:pPr>
    <w:r w:rsidRPr="008041E8">
      <w:rPr>
        <w:b/>
        <w:bCs/>
      </w:rPr>
      <w:t>Beths Grammar School KS</w:t>
    </w:r>
    <w:r w:rsidR="00710B03">
      <w:rPr>
        <w:b/>
        <w:bCs/>
      </w:rPr>
      <w:t>5</w:t>
    </w:r>
    <w:r w:rsidRPr="008041E8">
      <w:rPr>
        <w:b/>
        <w:bCs/>
      </w:rPr>
      <w:t xml:space="preserve"> </w:t>
    </w:r>
    <w:r w:rsidR="002A0D77">
      <w:rPr>
        <w:b/>
        <w:bCs/>
      </w:rPr>
      <w:t xml:space="preserve">History </w:t>
    </w:r>
    <w:r w:rsidRPr="008041E8">
      <w:rPr>
        <w:b/>
        <w:bCs/>
      </w:rPr>
      <w:t>Curriculum Map</w:t>
    </w:r>
    <w:r w:rsidR="00D47A8F">
      <w:rPr>
        <w:b/>
        <w:bCs/>
      </w:rPr>
      <w:t xml:space="preserve"> – Year </w:t>
    </w:r>
    <w:r w:rsidR="00710B03">
      <w:rPr>
        <w:b/>
        <w:bCs/>
      </w:rPr>
      <w:t>1</w:t>
    </w:r>
    <w:r w:rsidR="000E5F6B">
      <w:rPr>
        <w:b/>
        <w:bCs/>
      </w:rPr>
      <w:t>3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3F0B"/>
    <w:multiLevelType w:val="hybridMultilevel"/>
    <w:tmpl w:val="7780D1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8CF01CF"/>
    <w:multiLevelType w:val="hybridMultilevel"/>
    <w:tmpl w:val="22C08CF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9410486"/>
    <w:multiLevelType w:val="hybridMultilevel"/>
    <w:tmpl w:val="93FC8EFE"/>
    <w:lvl w:ilvl="0" w:tplc="1B48FCC8">
      <w:start w:val="1"/>
      <w:numFmt w:val="bullet"/>
      <w:pStyle w:val="textbullets"/>
      <w:lvlText w:val="●"/>
      <w:lvlJc w:val="left"/>
      <w:pPr>
        <w:tabs>
          <w:tab w:val="num" w:pos="397"/>
        </w:tabs>
        <w:ind w:left="397" w:hanging="397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alibri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alibri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alibri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1408F0"/>
    <w:multiLevelType w:val="hybridMultilevel"/>
    <w:tmpl w:val="FAE608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C102647"/>
    <w:multiLevelType w:val="hybridMultilevel"/>
    <w:tmpl w:val="3C9E01F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C277DE8"/>
    <w:multiLevelType w:val="hybridMultilevel"/>
    <w:tmpl w:val="96E66A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CCF2ADF"/>
    <w:multiLevelType w:val="hybridMultilevel"/>
    <w:tmpl w:val="ABB6CE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C837018"/>
    <w:multiLevelType w:val="hybridMultilevel"/>
    <w:tmpl w:val="F2B251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hint="default" w:ascii="Wingdings" w:hAnsi="Wingdings"/>
      </w:rPr>
    </w:lvl>
  </w:abstractNum>
  <w:abstractNum w:abstractNumId="8" w15:restartNumberingAfterBreak="0">
    <w:nsid w:val="4DDB210A"/>
    <w:multiLevelType w:val="hybridMultilevel"/>
    <w:tmpl w:val="84E6E6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E0725AE"/>
    <w:multiLevelType w:val="hybridMultilevel"/>
    <w:tmpl w:val="6DEC66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E6A439C"/>
    <w:multiLevelType w:val="hybridMultilevel"/>
    <w:tmpl w:val="E9620AA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F383C9F"/>
    <w:multiLevelType w:val="hybridMultilevel"/>
    <w:tmpl w:val="B70E136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6301796E"/>
    <w:multiLevelType w:val="hybridMultilevel"/>
    <w:tmpl w:val="6A5A981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41719FE"/>
    <w:multiLevelType w:val="hybridMultilevel"/>
    <w:tmpl w:val="9FE6DB6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67BB3C2E"/>
    <w:multiLevelType w:val="hybridMultilevel"/>
    <w:tmpl w:val="BF5243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D1349FF"/>
    <w:multiLevelType w:val="hybridMultilevel"/>
    <w:tmpl w:val="12629CB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7246464C"/>
    <w:multiLevelType w:val="hybridMultilevel"/>
    <w:tmpl w:val="B2F04BC6"/>
    <w:lvl w:ilvl="0" w:tplc="4B763C60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alibri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alibri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alibri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850334683">
    <w:abstractNumId w:val="7"/>
  </w:num>
  <w:num w:numId="2" w16cid:durableId="1626622836">
    <w:abstractNumId w:val="12"/>
  </w:num>
  <w:num w:numId="3" w16cid:durableId="1832717941">
    <w:abstractNumId w:val="9"/>
  </w:num>
  <w:num w:numId="4" w16cid:durableId="663514793">
    <w:abstractNumId w:val="0"/>
  </w:num>
  <w:num w:numId="5" w16cid:durableId="667682126">
    <w:abstractNumId w:val="4"/>
  </w:num>
  <w:num w:numId="6" w16cid:durableId="108745532">
    <w:abstractNumId w:val="13"/>
  </w:num>
  <w:num w:numId="7" w16cid:durableId="2062709568">
    <w:abstractNumId w:val="6"/>
  </w:num>
  <w:num w:numId="8" w16cid:durableId="1076514298">
    <w:abstractNumId w:val="5"/>
  </w:num>
  <w:num w:numId="9" w16cid:durableId="1103765286">
    <w:abstractNumId w:val="16"/>
  </w:num>
  <w:num w:numId="10" w16cid:durableId="392003092">
    <w:abstractNumId w:val="3"/>
  </w:num>
  <w:num w:numId="11" w16cid:durableId="1712264001">
    <w:abstractNumId w:val="10"/>
  </w:num>
  <w:num w:numId="12" w16cid:durableId="231086505">
    <w:abstractNumId w:val="1"/>
  </w:num>
  <w:num w:numId="13" w16cid:durableId="1085147181">
    <w:abstractNumId w:val="8"/>
  </w:num>
  <w:num w:numId="14" w16cid:durableId="284696927">
    <w:abstractNumId w:val="11"/>
  </w:num>
  <w:num w:numId="15" w16cid:durableId="794299111">
    <w:abstractNumId w:val="2"/>
  </w:num>
  <w:num w:numId="16" w16cid:durableId="804852325">
    <w:abstractNumId w:val="14"/>
  </w:num>
  <w:num w:numId="17" w16cid:durableId="1035353504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057215"/>
    <w:rsid w:val="00084F72"/>
    <w:rsid w:val="00090EF3"/>
    <w:rsid w:val="00094ACF"/>
    <w:rsid w:val="000A1DC7"/>
    <w:rsid w:val="000C723D"/>
    <w:rsid w:val="000E4B60"/>
    <w:rsid w:val="000E5F6B"/>
    <w:rsid w:val="000F35CF"/>
    <w:rsid w:val="000F40AE"/>
    <w:rsid w:val="00101BA7"/>
    <w:rsid w:val="0011493F"/>
    <w:rsid w:val="00131DF7"/>
    <w:rsid w:val="00144D68"/>
    <w:rsid w:val="0017283C"/>
    <w:rsid w:val="00193C2A"/>
    <w:rsid w:val="00194C54"/>
    <w:rsid w:val="001B3C27"/>
    <w:rsid w:val="001C1751"/>
    <w:rsid w:val="001F1AAD"/>
    <w:rsid w:val="001F2800"/>
    <w:rsid w:val="00204F17"/>
    <w:rsid w:val="00212558"/>
    <w:rsid w:val="00240610"/>
    <w:rsid w:val="002451B4"/>
    <w:rsid w:val="00267BB6"/>
    <w:rsid w:val="00273D93"/>
    <w:rsid w:val="002A0D77"/>
    <w:rsid w:val="002A2AF1"/>
    <w:rsid w:val="002C2F7A"/>
    <w:rsid w:val="002C6094"/>
    <w:rsid w:val="002D3792"/>
    <w:rsid w:val="002D6BC0"/>
    <w:rsid w:val="00307783"/>
    <w:rsid w:val="003311A0"/>
    <w:rsid w:val="003444F4"/>
    <w:rsid w:val="00347AC1"/>
    <w:rsid w:val="00350FE0"/>
    <w:rsid w:val="003533EC"/>
    <w:rsid w:val="003675E7"/>
    <w:rsid w:val="00370F27"/>
    <w:rsid w:val="00374549"/>
    <w:rsid w:val="0037456A"/>
    <w:rsid w:val="00395AFE"/>
    <w:rsid w:val="003D6DEE"/>
    <w:rsid w:val="003F2FF9"/>
    <w:rsid w:val="00425DA6"/>
    <w:rsid w:val="00477DE4"/>
    <w:rsid w:val="00486F1F"/>
    <w:rsid w:val="004A7D15"/>
    <w:rsid w:val="004C1DE5"/>
    <w:rsid w:val="004C352B"/>
    <w:rsid w:val="004D7DAE"/>
    <w:rsid w:val="004F13A7"/>
    <w:rsid w:val="00525673"/>
    <w:rsid w:val="00551CDF"/>
    <w:rsid w:val="00553CD5"/>
    <w:rsid w:val="00555D0D"/>
    <w:rsid w:val="00585CEC"/>
    <w:rsid w:val="005A7453"/>
    <w:rsid w:val="005B34F9"/>
    <w:rsid w:val="005C05E9"/>
    <w:rsid w:val="005C3A93"/>
    <w:rsid w:val="005C69BA"/>
    <w:rsid w:val="005D4B25"/>
    <w:rsid w:val="005D503B"/>
    <w:rsid w:val="005E0F26"/>
    <w:rsid w:val="005E5DBE"/>
    <w:rsid w:val="0060735B"/>
    <w:rsid w:val="00621A4C"/>
    <w:rsid w:val="00627D77"/>
    <w:rsid w:val="00647EFA"/>
    <w:rsid w:val="006567DF"/>
    <w:rsid w:val="006B3905"/>
    <w:rsid w:val="006B635B"/>
    <w:rsid w:val="006E73AF"/>
    <w:rsid w:val="00710B03"/>
    <w:rsid w:val="00732BB2"/>
    <w:rsid w:val="007366E1"/>
    <w:rsid w:val="00736A2F"/>
    <w:rsid w:val="00736FB8"/>
    <w:rsid w:val="0074048D"/>
    <w:rsid w:val="00751724"/>
    <w:rsid w:val="007802BF"/>
    <w:rsid w:val="00792D38"/>
    <w:rsid w:val="00795908"/>
    <w:rsid w:val="007A176D"/>
    <w:rsid w:val="007C4EAE"/>
    <w:rsid w:val="007C63E2"/>
    <w:rsid w:val="007D0013"/>
    <w:rsid w:val="007E7A4A"/>
    <w:rsid w:val="00837E91"/>
    <w:rsid w:val="00850AB0"/>
    <w:rsid w:val="00862BFF"/>
    <w:rsid w:val="00870837"/>
    <w:rsid w:val="0087267A"/>
    <w:rsid w:val="00893E88"/>
    <w:rsid w:val="008D5FE8"/>
    <w:rsid w:val="008E0737"/>
    <w:rsid w:val="008E5022"/>
    <w:rsid w:val="008F5E82"/>
    <w:rsid w:val="00954B48"/>
    <w:rsid w:val="00962160"/>
    <w:rsid w:val="0096742D"/>
    <w:rsid w:val="00981200"/>
    <w:rsid w:val="00981FA7"/>
    <w:rsid w:val="009B29C4"/>
    <w:rsid w:val="00A31426"/>
    <w:rsid w:val="00A52573"/>
    <w:rsid w:val="00A8256D"/>
    <w:rsid w:val="00A840A4"/>
    <w:rsid w:val="00AA3008"/>
    <w:rsid w:val="00AA373D"/>
    <w:rsid w:val="00AC1C9F"/>
    <w:rsid w:val="00AE6ED6"/>
    <w:rsid w:val="00AF2B2D"/>
    <w:rsid w:val="00B00626"/>
    <w:rsid w:val="00B34B2F"/>
    <w:rsid w:val="00B65B60"/>
    <w:rsid w:val="00B74ECD"/>
    <w:rsid w:val="00B828C2"/>
    <w:rsid w:val="00B87DFF"/>
    <w:rsid w:val="00B97375"/>
    <w:rsid w:val="00BA1ACF"/>
    <w:rsid w:val="00BA6EEC"/>
    <w:rsid w:val="00BB5474"/>
    <w:rsid w:val="00BD2E35"/>
    <w:rsid w:val="00BD4E2B"/>
    <w:rsid w:val="00C10A8B"/>
    <w:rsid w:val="00C10D64"/>
    <w:rsid w:val="00C20105"/>
    <w:rsid w:val="00C6676E"/>
    <w:rsid w:val="00C6707B"/>
    <w:rsid w:val="00C75BC1"/>
    <w:rsid w:val="00C86E3C"/>
    <w:rsid w:val="00C86F5B"/>
    <w:rsid w:val="00C93B5B"/>
    <w:rsid w:val="00D0344C"/>
    <w:rsid w:val="00D321F4"/>
    <w:rsid w:val="00D37A1E"/>
    <w:rsid w:val="00D46918"/>
    <w:rsid w:val="00D47A8F"/>
    <w:rsid w:val="00D50451"/>
    <w:rsid w:val="00D52909"/>
    <w:rsid w:val="00DB6A3D"/>
    <w:rsid w:val="00DC137B"/>
    <w:rsid w:val="00DC66FF"/>
    <w:rsid w:val="00DC79BD"/>
    <w:rsid w:val="00DD21CA"/>
    <w:rsid w:val="00DF352B"/>
    <w:rsid w:val="00E02A02"/>
    <w:rsid w:val="00E06C66"/>
    <w:rsid w:val="00E15F48"/>
    <w:rsid w:val="00E22A45"/>
    <w:rsid w:val="00E328F2"/>
    <w:rsid w:val="00E35B78"/>
    <w:rsid w:val="00E44461"/>
    <w:rsid w:val="00E448A0"/>
    <w:rsid w:val="00E7087E"/>
    <w:rsid w:val="00E805DC"/>
    <w:rsid w:val="00E878E0"/>
    <w:rsid w:val="00EB24B8"/>
    <w:rsid w:val="00EB4A22"/>
    <w:rsid w:val="00ED2BA3"/>
    <w:rsid w:val="00F32626"/>
    <w:rsid w:val="00F477AE"/>
    <w:rsid w:val="00F56764"/>
    <w:rsid w:val="00FC10A6"/>
    <w:rsid w:val="00FF4C25"/>
    <w:rsid w:val="1717B992"/>
    <w:rsid w:val="19CE4DE4"/>
    <w:rsid w:val="234F9157"/>
    <w:rsid w:val="2B6EFB29"/>
    <w:rsid w:val="2C63C36B"/>
    <w:rsid w:val="493FBB58"/>
    <w:rsid w:val="53F7ECC9"/>
    <w:rsid w:val="56274D21"/>
    <w:rsid w:val="6BCBE226"/>
    <w:rsid w:val="6F7D8C22"/>
    <w:rsid w:val="6FEBCD7C"/>
    <w:rsid w:val="7AA6C981"/>
    <w:rsid w:val="7C349697"/>
    <w:rsid w:val="7F86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7A1E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055320"/>
    <w:rPr>
      <w:lang w:bidi="he-IL"/>
    </w:rPr>
  </w:style>
  <w:style w:type="paragraph" w:styleId="text" w:customStyle="1">
    <w:name w:val="text"/>
    <w:qFormat/>
    <w:rsid w:val="0011493F"/>
    <w:pPr>
      <w:spacing w:before="80" w:after="60" w:line="240" w:lineRule="atLeast"/>
      <w:ind w:left="567"/>
    </w:pPr>
    <w:rPr>
      <w:rFonts w:ascii="Verdana" w:hAnsi="Verdana" w:eastAsia="Times New Roman" w:cs="Arial"/>
      <w:sz w:val="20"/>
      <w:szCs w:val="24"/>
    </w:rPr>
  </w:style>
  <w:style w:type="paragraph" w:styleId="Tabletext" w:customStyle="1">
    <w:name w:val="Table text"/>
    <w:rsid w:val="0011493F"/>
    <w:pPr>
      <w:spacing w:before="80" w:after="60" w:line="240" w:lineRule="atLeast"/>
    </w:pPr>
    <w:rPr>
      <w:rFonts w:ascii="Verdana" w:hAnsi="Verdana" w:eastAsia="Times New Roman" w:cs="Arial"/>
      <w:sz w:val="20"/>
      <w:szCs w:val="24"/>
    </w:rPr>
  </w:style>
  <w:style w:type="paragraph" w:styleId="textindented" w:customStyle="1">
    <w:name w:val="text indented"/>
    <w:next w:val="Normal"/>
    <w:rsid w:val="0011493F"/>
    <w:pPr>
      <w:spacing w:before="60" w:after="60" w:line="260" w:lineRule="atLeast"/>
      <w:ind w:left="357" w:hanging="357"/>
    </w:pPr>
    <w:rPr>
      <w:rFonts w:ascii="Verdana" w:hAnsi="Verdana" w:eastAsia="Times New Roman" w:cs="Times New Roman"/>
      <w:color w:val="000000"/>
      <w:sz w:val="20"/>
      <w:lang w:eastAsia="en-GB"/>
    </w:rPr>
  </w:style>
  <w:style w:type="paragraph" w:styleId="Tabletextbullets" w:customStyle="1">
    <w:name w:val="Table text bullets"/>
    <w:qFormat/>
    <w:rsid w:val="0037456A"/>
    <w:pPr>
      <w:numPr>
        <w:numId w:val="9"/>
      </w:numPr>
      <w:spacing w:before="80" w:after="60" w:line="240" w:lineRule="atLeast"/>
    </w:pPr>
    <w:rPr>
      <w:rFonts w:ascii="Verdana" w:hAnsi="Verdana" w:eastAsia="Times New Roman" w:cs="Arial"/>
      <w:sz w:val="20"/>
      <w:szCs w:val="24"/>
    </w:rPr>
  </w:style>
  <w:style w:type="paragraph" w:styleId="textbullets" w:customStyle="1">
    <w:name w:val="text bullets"/>
    <w:qFormat/>
    <w:rsid w:val="00AC1C9F"/>
    <w:pPr>
      <w:numPr>
        <w:numId w:val="15"/>
      </w:numPr>
      <w:tabs>
        <w:tab w:val="clear" w:pos="397"/>
        <w:tab w:val="left" w:pos="964"/>
      </w:tabs>
      <w:spacing w:before="80" w:after="60" w:line="240" w:lineRule="atLeast"/>
      <w:ind w:left="964"/>
    </w:pPr>
    <w:rPr>
      <w:rFonts w:ascii="Verdana" w:hAnsi="Verdana" w:eastAsia="Times New Roman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5E993-7FEC-451B-BE1F-1115691FF44C}">
  <ds:schemaRefs>
    <ds:schemaRef ds:uri="http://schemas.microsoft.com/office/2006/metadata/properties"/>
    <ds:schemaRef ds:uri="http://schemas.microsoft.com/office/infopath/2007/PartnerControls"/>
    <ds:schemaRef ds:uri="1f0f7218-78ef-4a5b-827c-d68d8823c297"/>
  </ds:schemaRefs>
</ds:datastoreItem>
</file>

<file path=customXml/itemProps2.xml><?xml version="1.0" encoding="utf-8"?>
<ds:datastoreItem xmlns:ds="http://schemas.openxmlformats.org/officeDocument/2006/customXml" ds:itemID="{43141159-AC9D-4B29-A686-177B47B8C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EF2AA-DBAF-4931-B684-0AD71FF793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Mr I. Chamberlain</cp:lastModifiedBy>
  <cp:revision>97</cp:revision>
  <cp:lastPrinted>2023-11-14T18:54:00Z</cp:lastPrinted>
  <dcterms:created xsi:type="dcterms:W3CDTF">2024-06-14T14:05:00Z</dcterms:created>
  <dcterms:modified xsi:type="dcterms:W3CDTF">2024-07-05T13:30:12Z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